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9C52" w14:textId="2ACB56EE" w:rsidR="00215B09" w:rsidRDefault="00215B09" w:rsidP="007E0F2D">
      <w:pPr>
        <w:tabs>
          <w:tab w:val="left" w:pos="2268"/>
        </w:tabs>
        <w:jc w:val="center"/>
        <w:rPr>
          <w:rStyle w:val="aa"/>
          <w:rFonts w:ascii="Times New Roman" w:eastAsia="Times New Roman" w:hAnsi="Times New Roman" w:cs="Times New Roman"/>
        </w:rPr>
      </w:pPr>
      <w:bookmarkStart w:id="0" w:name="_GoBack"/>
      <w:bookmarkEnd w:id="0"/>
      <w:r w:rsidRPr="00CC3DCF">
        <w:rPr>
          <w:rStyle w:val="aa"/>
          <w:rFonts w:ascii="Times New Roman" w:eastAsia="Times New Roman" w:hAnsi="Times New Roman" w:cs="Times New Roman"/>
          <w:noProof/>
          <w:lang w:eastAsia="ru-RU"/>
        </w:rPr>
        <w:drawing>
          <wp:inline distT="0" distB="0" distL="0" distR="0" wp14:anchorId="4512A46C" wp14:editId="0DEF2782">
            <wp:extent cx="1133475" cy="1009650"/>
            <wp:effectExtent l="0" t="0" r="9525"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Безымянны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009650"/>
                    </a:xfrm>
                    <a:prstGeom prst="rect">
                      <a:avLst/>
                    </a:prstGeom>
                    <a:noFill/>
                    <a:ln>
                      <a:noFill/>
                    </a:ln>
                  </pic:spPr>
                </pic:pic>
              </a:graphicData>
            </a:graphic>
          </wp:inline>
        </w:drawing>
      </w:r>
    </w:p>
    <w:tbl>
      <w:tblPr>
        <w:tblW w:w="98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25"/>
      </w:tblGrid>
      <w:tr w:rsidR="00215B09" w14:paraId="0BEA7646" w14:textId="77777777" w:rsidTr="007E0F2D">
        <w:trPr>
          <w:trHeight w:val="1272"/>
        </w:trPr>
        <w:tc>
          <w:tcPr>
            <w:tcW w:w="9825"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1E8BF4DF" w14:textId="77777777" w:rsidR="00215B09" w:rsidRPr="002714A6" w:rsidRDefault="00215B09" w:rsidP="006708F3">
            <w:pPr>
              <w:spacing w:after="60"/>
              <w:jc w:val="center"/>
              <w:rPr>
                <w:rStyle w:val="aa"/>
                <w:rFonts w:ascii="Courier New" w:eastAsia="Courier New" w:hAnsi="Courier New" w:cs="Courier New"/>
                <w:b/>
                <w:bCs/>
                <w:sz w:val="20"/>
                <w:szCs w:val="20"/>
              </w:rPr>
            </w:pPr>
            <w:r w:rsidRPr="002714A6">
              <w:rPr>
                <w:rStyle w:val="aa"/>
                <w:rFonts w:ascii="Courier New" w:hAnsi="Courier New"/>
                <w:b/>
                <w:bCs/>
                <w:sz w:val="20"/>
                <w:szCs w:val="20"/>
              </w:rPr>
              <w:t>ОБЩЕРОССИЙСКАЯ ОБЩЕСТВЕННАЯ ОРГАНИЗАЦИЯ</w:t>
            </w:r>
          </w:p>
          <w:p w14:paraId="7A3DC4E2" w14:textId="77777777" w:rsidR="00215B09" w:rsidRPr="002714A6" w:rsidRDefault="00215B09" w:rsidP="006708F3">
            <w:pPr>
              <w:jc w:val="center"/>
              <w:rPr>
                <w:rStyle w:val="aa"/>
                <w:rFonts w:ascii="Georgia" w:eastAsia="Georgia" w:hAnsi="Georgia" w:cs="Georgia"/>
                <w:b/>
                <w:bCs/>
                <w:sz w:val="28"/>
                <w:szCs w:val="28"/>
              </w:rPr>
            </w:pPr>
            <w:r w:rsidRPr="002714A6">
              <w:rPr>
                <w:rStyle w:val="aa"/>
                <w:rFonts w:ascii="Georgia" w:hAnsi="Georgia"/>
                <w:b/>
                <w:bCs/>
                <w:sz w:val="28"/>
                <w:szCs w:val="28"/>
              </w:rPr>
              <w:t>«АССОЦИАЦИЯ ЮРИСТОВ РОССИИ»</w:t>
            </w:r>
          </w:p>
          <w:p w14:paraId="2EB702F2" w14:textId="77777777" w:rsidR="00215B09" w:rsidRDefault="00215B09" w:rsidP="006708F3">
            <w:pPr>
              <w:spacing w:before="120" w:after="60"/>
              <w:jc w:val="center"/>
              <w:rPr>
                <w:rStyle w:val="aa"/>
                <w:rFonts w:ascii="Georgia" w:hAnsi="Georgia"/>
                <w:b/>
                <w:bCs/>
                <w:sz w:val="32"/>
                <w:szCs w:val="32"/>
                <w:u w:val="single"/>
              </w:rPr>
            </w:pPr>
            <w:r w:rsidRPr="002714A6">
              <w:rPr>
                <w:rStyle w:val="aa"/>
                <w:rFonts w:ascii="Georgia" w:hAnsi="Georgia"/>
                <w:b/>
                <w:bCs/>
                <w:sz w:val="32"/>
                <w:szCs w:val="32"/>
                <w:u w:val="single"/>
              </w:rPr>
              <w:t>МОСКОВСКОЕ ОТДЕЛЕНИЕ</w:t>
            </w:r>
          </w:p>
          <w:p w14:paraId="3DF8C6AB" w14:textId="77777777" w:rsidR="00215B09" w:rsidRDefault="00215B09" w:rsidP="006708F3">
            <w:pPr>
              <w:spacing w:before="120" w:after="60"/>
              <w:jc w:val="center"/>
            </w:pPr>
            <w:r w:rsidRPr="003D5B5B">
              <w:rPr>
                <w:rStyle w:val="aa"/>
                <w:rFonts w:ascii="Times New Roman" w:hAnsi="Times New Roman"/>
                <w:b/>
                <w:bCs/>
                <w:u w:val="single"/>
              </w:rPr>
              <w:t xml:space="preserve">Комиссия </w:t>
            </w:r>
            <w:r w:rsidRPr="003D5B5B">
              <w:rPr>
                <w:rStyle w:val="aa"/>
                <w:b/>
                <w:bCs/>
                <w:u w:val="single"/>
              </w:rPr>
              <w:t>по</w:t>
            </w:r>
            <w:r w:rsidRPr="003D5B5B">
              <w:rPr>
                <w:rFonts w:ascii="Times New Roman" w:hAnsi="Times New Roman"/>
                <w:b/>
                <w:bCs/>
                <w:u w:val="single"/>
              </w:rPr>
              <w:t xml:space="preserve"> правовому обеспечению Цифровой экономик</w:t>
            </w:r>
            <w:r>
              <w:rPr>
                <w:rFonts w:ascii="Times New Roman" w:hAnsi="Times New Roman"/>
                <w:b/>
                <w:bCs/>
                <w:u w:val="single"/>
              </w:rPr>
              <w:t>и</w:t>
            </w:r>
          </w:p>
        </w:tc>
      </w:tr>
      <w:tr w:rsidR="00215B09" w:rsidRPr="006D02F1" w14:paraId="2D36C6E1" w14:textId="77777777" w:rsidTr="007E0F2D">
        <w:trPr>
          <w:trHeight w:val="1286"/>
        </w:trPr>
        <w:tc>
          <w:tcPr>
            <w:tcW w:w="9825"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3CC82157" w14:textId="77777777" w:rsidR="00215B09" w:rsidRPr="002714A6" w:rsidRDefault="00215B09" w:rsidP="007E0F2D">
            <w:pPr>
              <w:jc w:val="center"/>
              <w:rPr>
                <w:rStyle w:val="aa"/>
                <w:rFonts w:ascii="Times New Roman" w:eastAsia="Times New Roman" w:hAnsi="Times New Roman" w:cs="Times New Roman"/>
                <w:sz w:val="20"/>
                <w:szCs w:val="20"/>
              </w:rPr>
            </w:pPr>
            <w:r w:rsidRPr="002714A6">
              <w:rPr>
                <w:rStyle w:val="aa"/>
                <w:rFonts w:ascii="Times New Roman" w:hAnsi="Times New Roman"/>
                <w:sz w:val="20"/>
                <w:szCs w:val="20"/>
              </w:rPr>
              <w:t>119991, г. Москва, ГСП-1, Ленинские горы, МГУ, 4-й учебный корпус, стр. 13-14</w:t>
            </w:r>
          </w:p>
          <w:p w14:paraId="64B3CC23" w14:textId="77777777" w:rsidR="00215B09" w:rsidRPr="003234A5" w:rsidRDefault="00215B09" w:rsidP="007E0F2D">
            <w:pPr>
              <w:jc w:val="center"/>
              <w:rPr>
                <w:rStyle w:val="aa"/>
                <w:rFonts w:ascii="Times New Roman" w:hAnsi="Times New Roman"/>
                <w:sz w:val="20"/>
                <w:szCs w:val="20"/>
              </w:rPr>
            </w:pPr>
            <w:r w:rsidRPr="002714A6">
              <w:rPr>
                <w:rStyle w:val="aa"/>
                <w:rFonts w:ascii="Times New Roman" w:hAnsi="Times New Roman"/>
                <w:sz w:val="20"/>
                <w:szCs w:val="20"/>
              </w:rPr>
              <w:t>Юридический факультет МГУ имени М.В. Ломоносова,</w:t>
            </w:r>
          </w:p>
          <w:p w14:paraId="60AB4A22" w14:textId="4FDBDD94" w:rsidR="00215B09" w:rsidRDefault="00215B09" w:rsidP="007E0F2D">
            <w:pPr>
              <w:jc w:val="center"/>
              <w:rPr>
                <w:rStyle w:val="aa"/>
                <w:rFonts w:ascii="Times New Roman" w:hAnsi="Times New Roman"/>
                <w:sz w:val="20"/>
                <w:szCs w:val="20"/>
                <w:lang w:val="en-US"/>
              </w:rPr>
            </w:pPr>
            <w:r w:rsidRPr="002714A6">
              <w:rPr>
                <w:rStyle w:val="aa"/>
                <w:rFonts w:ascii="Times New Roman" w:hAnsi="Times New Roman"/>
                <w:sz w:val="20"/>
                <w:szCs w:val="20"/>
              </w:rPr>
              <w:t>тел</w:t>
            </w:r>
            <w:r w:rsidRPr="003234A5">
              <w:rPr>
                <w:rStyle w:val="aa"/>
                <w:rFonts w:ascii="Times New Roman" w:hAnsi="Times New Roman"/>
                <w:sz w:val="20"/>
                <w:szCs w:val="20"/>
                <w:lang w:val="en-US"/>
              </w:rPr>
              <w:t>.</w:t>
            </w:r>
            <w:r w:rsidRPr="00F92DEA">
              <w:rPr>
                <w:rStyle w:val="aa"/>
                <w:rFonts w:ascii="Times New Roman" w:hAnsi="Times New Roman"/>
                <w:sz w:val="20"/>
                <w:szCs w:val="20"/>
                <w:lang w:val="en-US"/>
              </w:rPr>
              <w:t>: 8 (495) 939-14-97</w:t>
            </w:r>
            <w:r w:rsidRPr="00010196">
              <w:rPr>
                <w:rStyle w:val="aa"/>
                <w:rFonts w:ascii="Times New Roman" w:hAnsi="Times New Roman"/>
                <w:sz w:val="20"/>
                <w:szCs w:val="20"/>
                <w:lang w:val="en-US"/>
              </w:rPr>
              <w:t xml:space="preserve">, </w:t>
            </w:r>
            <w:r w:rsidRPr="00F92DEA">
              <w:rPr>
                <w:rStyle w:val="aa"/>
                <w:rFonts w:ascii="Times New Roman" w:hAnsi="Times New Roman"/>
                <w:sz w:val="20"/>
                <w:szCs w:val="20"/>
                <w:lang w:val="en-US"/>
              </w:rPr>
              <w:t xml:space="preserve">8 (495) 939-30-60; </w:t>
            </w:r>
            <w:r w:rsidRPr="00010196">
              <w:rPr>
                <w:rStyle w:val="aa"/>
                <w:rFonts w:ascii="Times New Roman" w:hAnsi="Times New Roman"/>
                <w:sz w:val="20"/>
                <w:szCs w:val="20"/>
                <w:lang w:val="en-US"/>
              </w:rPr>
              <w:t>e-mail</w:t>
            </w:r>
            <w:r w:rsidRPr="002714A6">
              <w:rPr>
                <w:rStyle w:val="aa"/>
                <w:rFonts w:ascii="Times New Roman" w:hAnsi="Times New Roman"/>
                <w:sz w:val="20"/>
                <w:szCs w:val="20"/>
                <w:lang w:val="en-US"/>
              </w:rPr>
              <w:t xml:space="preserve">: </w:t>
            </w:r>
            <w:hyperlink r:id="rId12" w:history="1">
              <w:r w:rsidR="00706208" w:rsidRPr="00E16CE4">
                <w:rPr>
                  <w:rStyle w:val="af0"/>
                  <w:rFonts w:ascii="Times New Roman" w:hAnsi="Times New Roman"/>
                  <w:sz w:val="20"/>
                  <w:szCs w:val="20"/>
                  <w:lang w:val="en-US"/>
                </w:rPr>
                <w:t>digitallaw@alrf.msk.ru</w:t>
              </w:r>
            </w:hyperlink>
            <w:r w:rsidR="00706208" w:rsidRPr="00706208">
              <w:rPr>
                <w:rStyle w:val="aa"/>
                <w:rFonts w:ascii="Times New Roman" w:hAnsi="Times New Roman"/>
                <w:sz w:val="20"/>
                <w:szCs w:val="20"/>
                <w:lang w:val="en-US"/>
              </w:rPr>
              <w:t xml:space="preserve"> </w:t>
            </w:r>
            <w:r w:rsidRPr="00B311DE">
              <w:rPr>
                <w:rStyle w:val="aa"/>
                <w:rFonts w:ascii="Times New Roman" w:hAnsi="Times New Roman"/>
                <w:sz w:val="20"/>
                <w:szCs w:val="20"/>
                <w:lang w:val="en-US"/>
              </w:rPr>
              <w:t xml:space="preserve"> </w:t>
            </w:r>
          </w:p>
          <w:p w14:paraId="2647D804" w14:textId="2DE79CC8" w:rsidR="00215B09" w:rsidRPr="00706208" w:rsidRDefault="00194552" w:rsidP="007E0F2D">
            <w:pPr>
              <w:jc w:val="center"/>
              <w:rPr>
                <w:rFonts w:ascii="Times New Roman" w:eastAsia="Times New Roman" w:hAnsi="Times New Roman" w:cs="Times New Roman"/>
                <w:b/>
                <w:bCs/>
                <w:sz w:val="20"/>
                <w:szCs w:val="20"/>
                <w:u w:val="single"/>
                <w:lang w:val="en-US"/>
              </w:rPr>
            </w:pPr>
            <w:hyperlink r:id="rId13" w:history="1">
              <w:r w:rsidR="00706208" w:rsidRPr="00E16CE4">
                <w:rPr>
                  <w:rStyle w:val="af0"/>
                  <w:rFonts w:ascii="Times New Roman" w:hAnsi="Times New Roman"/>
                  <w:sz w:val="20"/>
                  <w:szCs w:val="20"/>
                  <w:lang w:val="en-US"/>
                </w:rPr>
                <w:t>http://www.alrf.msk.ru</w:t>
              </w:r>
            </w:hyperlink>
            <w:r w:rsidR="00706208" w:rsidRPr="00706208">
              <w:rPr>
                <w:rStyle w:val="aa"/>
                <w:rFonts w:ascii="Times New Roman" w:hAnsi="Times New Roman"/>
                <w:sz w:val="20"/>
                <w:szCs w:val="20"/>
                <w:lang w:val="en-US"/>
              </w:rPr>
              <w:t xml:space="preserve"> </w:t>
            </w: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79"/>
      </w:tblGrid>
      <w:tr w:rsidR="008D4278" w14:paraId="3DCC832C" w14:textId="77777777" w:rsidTr="00215B09">
        <w:tc>
          <w:tcPr>
            <w:tcW w:w="4670" w:type="dxa"/>
          </w:tcPr>
          <w:p w14:paraId="7EB338AA" w14:textId="457E0DE8" w:rsidR="008D4278" w:rsidRDefault="00EB1E4C" w:rsidP="00935867">
            <w:pPr>
              <w:pStyle w:val="a3"/>
              <w:ind w:left="0"/>
              <w:rPr>
                <w:rFonts w:ascii="Times New Roman" w:hAnsi="Times New Roman"/>
                <w:sz w:val="25"/>
                <w:szCs w:val="25"/>
              </w:rPr>
            </w:pPr>
            <w:r>
              <w:rPr>
                <w:rFonts w:ascii="Times New Roman" w:hAnsi="Times New Roman"/>
                <w:sz w:val="25"/>
                <w:szCs w:val="25"/>
              </w:rPr>
              <w:t>«</w:t>
            </w:r>
            <w:r w:rsidR="00D13D19">
              <w:rPr>
                <w:rFonts w:ascii="Times New Roman" w:hAnsi="Times New Roman"/>
                <w:sz w:val="25"/>
                <w:szCs w:val="25"/>
              </w:rPr>
              <w:t>2</w:t>
            </w:r>
            <w:r w:rsidR="00935867">
              <w:rPr>
                <w:rFonts w:ascii="Times New Roman" w:hAnsi="Times New Roman"/>
                <w:sz w:val="25"/>
                <w:szCs w:val="25"/>
              </w:rPr>
              <w:t>2</w:t>
            </w:r>
            <w:r w:rsidR="008D4278">
              <w:rPr>
                <w:rFonts w:ascii="Times New Roman" w:hAnsi="Times New Roman"/>
                <w:sz w:val="25"/>
                <w:szCs w:val="25"/>
              </w:rPr>
              <w:t xml:space="preserve">» </w:t>
            </w:r>
            <w:r w:rsidR="00D13D19">
              <w:rPr>
                <w:rFonts w:ascii="Times New Roman" w:hAnsi="Times New Roman"/>
                <w:sz w:val="25"/>
                <w:szCs w:val="25"/>
              </w:rPr>
              <w:t>мая</w:t>
            </w:r>
            <w:r w:rsidR="008D4278">
              <w:rPr>
                <w:rFonts w:ascii="Times New Roman" w:hAnsi="Times New Roman"/>
                <w:sz w:val="25"/>
                <w:szCs w:val="25"/>
              </w:rPr>
              <w:t xml:space="preserve"> 2019 года</w:t>
            </w:r>
          </w:p>
        </w:tc>
        <w:tc>
          <w:tcPr>
            <w:tcW w:w="4679" w:type="dxa"/>
          </w:tcPr>
          <w:p w14:paraId="3C91BB55" w14:textId="77777777" w:rsidR="008D4278" w:rsidRDefault="008D4278" w:rsidP="008D4278">
            <w:pPr>
              <w:pStyle w:val="a3"/>
              <w:ind w:left="0"/>
              <w:jc w:val="right"/>
              <w:rPr>
                <w:rFonts w:ascii="Times New Roman" w:hAnsi="Times New Roman"/>
                <w:sz w:val="25"/>
                <w:szCs w:val="25"/>
              </w:rPr>
            </w:pPr>
            <w:r>
              <w:rPr>
                <w:rFonts w:ascii="Times New Roman" w:hAnsi="Times New Roman"/>
                <w:sz w:val="25"/>
                <w:szCs w:val="25"/>
              </w:rPr>
              <w:t>г. Москва</w:t>
            </w:r>
          </w:p>
        </w:tc>
      </w:tr>
    </w:tbl>
    <w:p w14:paraId="11105210" w14:textId="77777777" w:rsidR="008D4278" w:rsidRDefault="008D4278" w:rsidP="008D4278">
      <w:pPr>
        <w:pStyle w:val="a3"/>
        <w:ind w:left="0"/>
        <w:jc w:val="center"/>
        <w:rPr>
          <w:rFonts w:ascii="Times New Roman" w:hAnsi="Times New Roman"/>
          <w:sz w:val="25"/>
          <w:szCs w:val="25"/>
        </w:rPr>
      </w:pPr>
    </w:p>
    <w:p w14:paraId="3A28F14D" w14:textId="77777777" w:rsidR="008D4278" w:rsidRPr="00D13D19" w:rsidRDefault="005B3487" w:rsidP="008D4278">
      <w:pPr>
        <w:pStyle w:val="a3"/>
        <w:ind w:left="0"/>
        <w:jc w:val="center"/>
        <w:rPr>
          <w:rFonts w:ascii="Times New Roman" w:hAnsi="Times New Roman" w:cs="Times New Roman"/>
          <w:b/>
          <w:sz w:val="25"/>
          <w:szCs w:val="25"/>
        </w:rPr>
      </w:pPr>
      <w:r w:rsidRPr="00D13D19">
        <w:rPr>
          <w:rFonts w:ascii="Times New Roman" w:hAnsi="Times New Roman" w:cs="Times New Roman"/>
          <w:b/>
          <w:sz w:val="25"/>
          <w:szCs w:val="25"/>
        </w:rPr>
        <w:t xml:space="preserve">ЗАКЛЮЧЕНИЕ </w:t>
      </w:r>
    </w:p>
    <w:p w14:paraId="4FBDE75F" w14:textId="3BD52886" w:rsidR="001729E0" w:rsidRPr="00D13D19" w:rsidRDefault="00D13D19" w:rsidP="008D4278">
      <w:pPr>
        <w:pStyle w:val="a3"/>
        <w:ind w:left="0"/>
        <w:jc w:val="center"/>
        <w:rPr>
          <w:rFonts w:ascii="Times New Roman" w:hAnsi="Times New Roman" w:cs="Times New Roman"/>
          <w:b/>
          <w:sz w:val="25"/>
          <w:szCs w:val="25"/>
        </w:rPr>
      </w:pPr>
      <w:r w:rsidRPr="00D13D19">
        <w:rPr>
          <w:rFonts w:ascii="Times New Roman" w:hAnsi="Times New Roman" w:cs="Times New Roman"/>
          <w:b/>
          <w:sz w:val="25"/>
          <w:szCs w:val="25"/>
        </w:rPr>
        <w:t xml:space="preserve">По </w:t>
      </w:r>
      <w:r>
        <w:rPr>
          <w:rFonts w:ascii="Times New Roman" w:hAnsi="Times New Roman" w:cs="Times New Roman"/>
          <w:b/>
          <w:bCs/>
        </w:rPr>
        <w:t>проектам</w:t>
      </w:r>
      <w:r w:rsidRPr="00D13D19">
        <w:rPr>
          <w:rFonts w:ascii="Times New Roman" w:hAnsi="Times New Roman" w:cs="Times New Roman"/>
          <w:b/>
          <w:bCs/>
        </w:rPr>
        <w:t xml:space="preserve"> федеральных законов «О цифровых финансовых активах» </w:t>
      </w:r>
      <w:r w:rsidR="004D7A70">
        <w:rPr>
          <w:rFonts w:ascii="Times New Roman" w:hAnsi="Times New Roman" w:cs="Times New Roman"/>
          <w:b/>
          <w:bCs/>
        </w:rPr>
        <w:br/>
      </w:r>
      <w:r w:rsidRPr="00D13D19">
        <w:rPr>
          <w:rFonts w:ascii="Times New Roman" w:hAnsi="Times New Roman" w:cs="Times New Roman"/>
          <w:b/>
          <w:bCs/>
        </w:rPr>
        <w:t>(№ 419059-7) и «О привлечении инвестиций с использованием инвестиционных платформ» (№</w:t>
      </w:r>
      <w:r w:rsidR="0067579E">
        <w:rPr>
          <w:rFonts w:ascii="Times New Roman" w:hAnsi="Times New Roman" w:cs="Times New Roman"/>
          <w:b/>
          <w:bCs/>
        </w:rPr>
        <w:t xml:space="preserve"> </w:t>
      </w:r>
      <w:r w:rsidRPr="00D13D19">
        <w:rPr>
          <w:rFonts w:ascii="Times New Roman" w:hAnsi="Times New Roman" w:cs="Times New Roman"/>
          <w:b/>
          <w:bCs/>
        </w:rPr>
        <w:t>419090-7)</w:t>
      </w:r>
    </w:p>
    <w:p w14:paraId="214811F7" w14:textId="77777777" w:rsidR="001729E0" w:rsidRPr="008D4278" w:rsidRDefault="001729E0" w:rsidP="008D4278">
      <w:pPr>
        <w:pStyle w:val="a3"/>
        <w:ind w:left="0"/>
        <w:jc w:val="both"/>
        <w:rPr>
          <w:rFonts w:ascii="Times New Roman" w:hAnsi="Times New Roman"/>
          <w:sz w:val="25"/>
          <w:szCs w:val="25"/>
        </w:rPr>
      </w:pPr>
    </w:p>
    <w:p w14:paraId="520F03A1" w14:textId="7EE29706" w:rsidR="00EB1E4C" w:rsidRDefault="00EB1E4C" w:rsidP="004D7A70">
      <w:pPr>
        <w:spacing w:before="80" w:after="80"/>
        <w:ind w:firstLine="567"/>
        <w:jc w:val="both"/>
        <w:rPr>
          <w:rFonts w:ascii="Times New Roman" w:hAnsi="Times New Roman"/>
          <w:sz w:val="25"/>
          <w:szCs w:val="25"/>
        </w:rPr>
      </w:pPr>
      <w:r w:rsidRPr="00EB1E4C">
        <w:rPr>
          <w:rFonts w:ascii="Times New Roman" w:hAnsi="Times New Roman"/>
          <w:sz w:val="25"/>
          <w:szCs w:val="25"/>
        </w:rPr>
        <w:t>​</w:t>
      </w:r>
      <w:r w:rsidR="00447203">
        <w:rPr>
          <w:rFonts w:ascii="Times New Roman" w:hAnsi="Times New Roman"/>
          <w:sz w:val="25"/>
          <w:szCs w:val="25"/>
        </w:rPr>
        <w:t>«20»</w:t>
      </w:r>
      <w:r w:rsidRPr="00EB1E4C">
        <w:rPr>
          <w:rFonts w:ascii="Times New Roman" w:hAnsi="Times New Roman"/>
          <w:sz w:val="25"/>
          <w:szCs w:val="25"/>
        </w:rPr>
        <w:t xml:space="preserve"> </w:t>
      </w:r>
      <w:r w:rsidR="00A23B93">
        <w:rPr>
          <w:rFonts w:ascii="Times New Roman" w:hAnsi="Times New Roman"/>
          <w:sz w:val="25"/>
          <w:szCs w:val="25"/>
        </w:rPr>
        <w:t>мая</w:t>
      </w:r>
      <w:r w:rsidR="00A23B93" w:rsidRPr="00EB1E4C">
        <w:rPr>
          <w:rFonts w:ascii="Times New Roman" w:hAnsi="Times New Roman"/>
          <w:sz w:val="25"/>
          <w:szCs w:val="25"/>
        </w:rPr>
        <w:t xml:space="preserve"> </w:t>
      </w:r>
      <w:r w:rsidR="00B579CE">
        <w:rPr>
          <w:rFonts w:ascii="Times New Roman" w:hAnsi="Times New Roman"/>
          <w:sz w:val="25"/>
          <w:szCs w:val="25"/>
        </w:rPr>
        <w:t xml:space="preserve">2019 года </w:t>
      </w:r>
      <w:r w:rsidRPr="00EB1E4C">
        <w:rPr>
          <w:rFonts w:ascii="Times New Roman" w:hAnsi="Times New Roman"/>
          <w:sz w:val="25"/>
          <w:szCs w:val="25"/>
        </w:rPr>
        <w:t>в</w:t>
      </w:r>
      <w:r w:rsidR="00447203" w:rsidRPr="00447203">
        <w:rPr>
          <w:rFonts w:ascii="Times New Roman" w:hAnsi="Times New Roman"/>
          <w:sz w:val="25"/>
          <w:szCs w:val="25"/>
        </w:rPr>
        <w:t xml:space="preserve"> РЭУ имени Г.В. Плеханова </w:t>
      </w:r>
      <w:r w:rsidR="00C62CC4" w:rsidRPr="00C62CC4">
        <w:rPr>
          <w:rFonts w:ascii="Times New Roman" w:hAnsi="Times New Roman"/>
          <w:sz w:val="25"/>
          <w:szCs w:val="25"/>
        </w:rPr>
        <w:t>состоялось</w:t>
      </w:r>
      <w:r w:rsidR="00447203" w:rsidRPr="00447203">
        <w:rPr>
          <w:rFonts w:ascii="Times New Roman" w:hAnsi="Times New Roman"/>
          <w:sz w:val="25"/>
          <w:szCs w:val="25"/>
        </w:rPr>
        <w:t xml:space="preserve"> заседание Комиссии по правовому обеспечению цифровой экономики при Московском отделении Ассоциации юристов России</w:t>
      </w:r>
      <w:r w:rsidR="00DE407B">
        <w:rPr>
          <w:rFonts w:ascii="Times New Roman" w:hAnsi="Times New Roman"/>
          <w:sz w:val="25"/>
          <w:szCs w:val="25"/>
        </w:rPr>
        <w:t xml:space="preserve"> (далее – </w:t>
      </w:r>
      <w:r w:rsidR="002F53A8">
        <w:rPr>
          <w:rFonts w:ascii="Times New Roman" w:hAnsi="Times New Roman"/>
          <w:sz w:val="25"/>
          <w:szCs w:val="25"/>
        </w:rPr>
        <w:t>«</w:t>
      </w:r>
      <w:r w:rsidR="00DE407B" w:rsidRPr="00FD3849">
        <w:rPr>
          <w:rFonts w:ascii="Times New Roman" w:hAnsi="Times New Roman"/>
          <w:b/>
          <w:sz w:val="25"/>
          <w:szCs w:val="25"/>
        </w:rPr>
        <w:t>Комиссия</w:t>
      </w:r>
      <w:r w:rsidR="002F53A8">
        <w:rPr>
          <w:rFonts w:ascii="Times New Roman" w:hAnsi="Times New Roman"/>
          <w:sz w:val="25"/>
          <w:szCs w:val="25"/>
        </w:rPr>
        <w:t>»</w:t>
      </w:r>
      <w:r w:rsidR="00DE407B">
        <w:rPr>
          <w:rFonts w:ascii="Times New Roman" w:hAnsi="Times New Roman"/>
          <w:sz w:val="25"/>
          <w:szCs w:val="25"/>
        </w:rPr>
        <w:t>)</w:t>
      </w:r>
      <w:r w:rsidR="00447203" w:rsidRPr="00447203">
        <w:rPr>
          <w:rFonts w:ascii="Times New Roman" w:hAnsi="Times New Roman"/>
          <w:sz w:val="25"/>
          <w:szCs w:val="25"/>
        </w:rPr>
        <w:t xml:space="preserve"> по теме «Цифровые финансовые активы: проблемы и перспективы законодательного регулирования»</w:t>
      </w:r>
      <w:r>
        <w:rPr>
          <w:rFonts w:ascii="Times New Roman" w:hAnsi="Times New Roman"/>
          <w:sz w:val="25"/>
          <w:szCs w:val="25"/>
        </w:rPr>
        <w:t xml:space="preserve">. В заседании и дискуссии приняли участие члены Комиссии, представители государственных органов и бизнеса, а также научного сообщества. По результатам заседания Комиссия </w:t>
      </w:r>
      <w:r w:rsidR="0057087D">
        <w:rPr>
          <w:rFonts w:ascii="Times New Roman" w:hAnsi="Times New Roman"/>
          <w:sz w:val="25"/>
          <w:szCs w:val="25"/>
        </w:rPr>
        <w:t>полагает</w:t>
      </w:r>
      <w:r>
        <w:rPr>
          <w:rFonts w:ascii="Times New Roman" w:hAnsi="Times New Roman"/>
          <w:sz w:val="25"/>
          <w:szCs w:val="25"/>
        </w:rPr>
        <w:t xml:space="preserve"> целесообразным опубликовать заключение</w:t>
      </w:r>
      <w:r w:rsidR="00B579CE">
        <w:rPr>
          <w:rFonts w:ascii="Times New Roman" w:hAnsi="Times New Roman"/>
          <w:sz w:val="25"/>
          <w:szCs w:val="25"/>
        </w:rPr>
        <w:t xml:space="preserve"> о следующем</w:t>
      </w:r>
      <w:r w:rsidRPr="00C81721">
        <w:rPr>
          <w:rFonts w:ascii="Times New Roman" w:hAnsi="Times New Roman"/>
          <w:sz w:val="25"/>
          <w:szCs w:val="25"/>
        </w:rPr>
        <w:t>.</w:t>
      </w:r>
    </w:p>
    <w:p w14:paraId="0938A19D" w14:textId="00735E73" w:rsidR="00215B09" w:rsidRDefault="00A13032" w:rsidP="00215B09">
      <w:pPr>
        <w:pStyle w:val="a3"/>
        <w:spacing w:before="80" w:after="80" w:line="256" w:lineRule="auto"/>
        <w:ind w:left="0" w:firstLine="567"/>
        <w:jc w:val="both"/>
        <w:rPr>
          <w:rFonts w:ascii="Times New Roman" w:hAnsi="Times New Roman"/>
          <w:sz w:val="25"/>
          <w:szCs w:val="25"/>
        </w:rPr>
      </w:pPr>
      <w:r>
        <w:rPr>
          <w:rFonts w:ascii="Times New Roman" w:hAnsi="Times New Roman"/>
          <w:sz w:val="25"/>
          <w:szCs w:val="25"/>
        </w:rPr>
        <w:t xml:space="preserve">В настоящее </w:t>
      </w:r>
      <w:r w:rsidR="00873806">
        <w:rPr>
          <w:rFonts w:ascii="Times New Roman" w:hAnsi="Times New Roman"/>
          <w:sz w:val="25"/>
          <w:szCs w:val="25"/>
        </w:rPr>
        <w:t>время приняты</w:t>
      </w:r>
      <w:r>
        <w:rPr>
          <w:rFonts w:ascii="Times New Roman" w:hAnsi="Times New Roman"/>
          <w:sz w:val="25"/>
          <w:szCs w:val="25"/>
        </w:rPr>
        <w:t xml:space="preserve"> изменения в Г</w:t>
      </w:r>
      <w:r w:rsidR="0067579E">
        <w:rPr>
          <w:rFonts w:ascii="Times New Roman" w:hAnsi="Times New Roman"/>
          <w:sz w:val="25"/>
          <w:szCs w:val="25"/>
        </w:rPr>
        <w:t xml:space="preserve">ражданский </w:t>
      </w:r>
      <w:r>
        <w:rPr>
          <w:rFonts w:ascii="Times New Roman" w:hAnsi="Times New Roman"/>
          <w:sz w:val="25"/>
          <w:szCs w:val="25"/>
        </w:rPr>
        <w:t>К</w:t>
      </w:r>
      <w:r w:rsidR="0067579E">
        <w:rPr>
          <w:rFonts w:ascii="Times New Roman" w:hAnsi="Times New Roman"/>
          <w:sz w:val="25"/>
          <w:szCs w:val="25"/>
        </w:rPr>
        <w:t>одекс</w:t>
      </w:r>
      <w:r>
        <w:rPr>
          <w:rFonts w:ascii="Times New Roman" w:hAnsi="Times New Roman"/>
          <w:sz w:val="25"/>
          <w:szCs w:val="25"/>
        </w:rPr>
        <w:t xml:space="preserve"> РФ</w:t>
      </w:r>
      <w:r w:rsidR="0067579E">
        <w:rPr>
          <w:rFonts w:ascii="Times New Roman" w:hAnsi="Times New Roman"/>
          <w:sz w:val="25"/>
          <w:szCs w:val="25"/>
        </w:rPr>
        <w:t xml:space="preserve"> (далее – «ГК РФ»)</w:t>
      </w:r>
      <w:r>
        <w:rPr>
          <w:rFonts w:ascii="Times New Roman" w:hAnsi="Times New Roman"/>
          <w:sz w:val="25"/>
          <w:szCs w:val="25"/>
        </w:rPr>
        <w:t xml:space="preserve"> «О Цифровых правах»</w:t>
      </w:r>
      <w:r w:rsidR="00873806">
        <w:rPr>
          <w:rStyle w:val="a6"/>
          <w:rFonts w:ascii="Times New Roman" w:hAnsi="Times New Roman"/>
          <w:sz w:val="25"/>
          <w:szCs w:val="25"/>
        </w:rPr>
        <w:footnoteReference w:id="1"/>
      </w:r>
      <w:r w:rsidR="00873806">
        <w:rPr>
          <w:rFonts w:ascii="Times New Roman" w:hAnsi="Times New Roman"/>
          <w:sz w:val="25"/>
          <w:szCs w:val="25"/>
        </w:rPr>
        <w:t>,</w:t>
      </w:r>
      <w:r>
        <w:rPr>
          <w:rFonts w:ascii="Times New Roman" w:hAnsi="Times New Roman"/>
          <w:sz w:val="25"/>
          <w:szCs w:val="25"/>
        </w:rPr>
        <w:t xml:space="preserve"> </w:t>
      </w:r>
      <w:r w:rsidRPr="00A13032">
        <w:rPr>
          <w:rFonts w:ascii="Times New Roman" w:hAnsi="Times New Roman"/>
          <w:sz w:val="25"/>
          <w:szCs w:val="25"/>
        </w:rPr>
        <w:t xml:space="preserve">создан новый объект гражданских прав – «цифровые права». </w:t>
      </w:r>
      <w:r w:rsidR="00906867">
        <w:rPr>
          <w:rFonts w:ascii="Times New Roman" w:hAnsi="Times New Roman"/>
          <w:sz w:val="25"/>
          <w:szCs w:val="25"/>
        </w:rPr>
        <w:t>Д</w:t>
      </w:r>
      <w:r w:rsidR="00906867" w:rsidRPr="00A13032">
        <w:rPr>
          <w:rFonts w:ascii="Times New Roman" w:hAnsi="Times New Roman"/>
          <w:sz w:val="25"/>
          <w:szCs w:val="25"/>
        </w:rPr>
        <w:t>анны</w:t>
      </w:r>
      <w:r w:rsidR="00906867">
        <w:rPr>
          <w:rFonts w:ascii="Times New Roman" w:hAnsi="Times New Roman"/>
          <w:sz w:val="25"/>
          <w:szCs w:val="25"/>
        </w:rPr>
        <w:t>е</w:t>
      </w:r>
      <w:r w:rsidR="00906867" w:rsidRPr="00A13032">
        <w:rPr>
          <w:rFonts w:ascii="Times New Roman" w:hAnsi="Times New Roman"/>
          <w:sz w:val="25"/>
          <w:szCs w:val="25"/>
        </w:rPr>
        <w:t xml:space="preserve"> </w:t>
      </w:r>
      <w:r w:rsidR="00873806">
        <w:rPr>
          <w:rFonts w:ascii="Times New Roman" w:hAnsi="Times New Roman"/>
          <w:sz w:val="25"/>
          <w:szCs w:val="25"/>
        </w:rPr>
        <w:t>изменения</w:t>
      </w:r>
      <w:r w:rsidRPr="00A13032">
        <w:rPr>
          <w:rFonts w:ascii="Times New Roman" w:hAnsi="Times New Roman"/>
          <w:sz w:val="25"/>
          <w:szCs w:val="25"/>
        </w:rPr>
        <w:t xml:space="preserve"> </w:t>
      </w:r>
      <w:r w:rsidR="00E549FA">
        <w:rPr>
          <w:rFonts w:ascii="Times New Roman" w:hAnsi="Times New Roman"/>
          <w:sz w:val="25"/>
          <w:szCs w:val="25"/>
        </w:rPr>
        <w:t>б</w:t>
      </w:r>
      <w:r w:rsidR="000859C4">
        <w:rPr>
          <w:rFonts w:ascii="Times New Roman" w:hAnsi="Times New Roman"/>
          <w:sz w:val="25"/>
          <w:szCs w:val="25"/>
        </w:rPr>
        <w:t>ыли ожидаемы участниками рынка</w:t>
      </w:r>
      <w:r w:rsidR="00E549FA">
        <w:rPr>
          <w:rFonts w:ascii="Times New Roman" w:hAnsi="Times New Roman"/>
          <w:sz w:val="25"/>
          <w:szCs w:val="25"/>
        </w:rPr>
        <w:t xml:space="preserve"> и</w:t>
      </w:r>
      <w:r w:rsidRPr="00A13032">
        <w:rPr>
          <w:rFonts w:ascii="Times New Roman" w:hAnsi="Times New Roman"/>
          <w:sz w:val="25"/>
          <w:szCs w:val="25"/>
        </w:rPr>
        <w:t xml:space="preserve"> позволил</w:t>
      </w:r>
      <w:r w:rsidR="00873806">
        <w:rPr>
          <w:rFonts w:ascii="Times New Roman" w:hAnsi="Times New Roman"/>
          <w:sz w:val="25"/>
          <w:szCs w:val="25"/>
        </w:rPr>
        <w:t>и</w:t>
      </w:r>
      <w:r w:rsidRPr="00A13032">
        <w:rPr>
          <w:rFonts w:ascii="Times New Roman" w:hAnsi="Times New Roman"/>
          <w:sz w:val="25"/>
          <w:szCs w:val="25"/>
        </w:rPr>
        <w:t xml:space="preserve"> гражданам и юридич</w:t>
      </w:r>
      <w:r w:rsidR="00873806">
        <w:rPr>
          <w:rFonts w:ascii="Times New Roman" w:hAnsi="Times New Roman"/>
          <w:sz w:val="25"/>
          <w:szCs w:val="25"/>
        </w:rPr>
        <w:t>еским лицам защищать свои права</w:t>
      </w:r>
      <w:r w:rsidR="00E549FA">
        <w:rPr>
          <w:rFonts w:ascii="Times New Roman" w:hAnsi="Times New Roman"/>
          <w:sz w:val="25"/>
          <w:szCs w:val="25"/>
        </w:rPr>
        <w:t xml:space="preserve"> еще на стадии </w:t>
      </w:r>
      <w:r w:rsidR="000859C4">
        <w:rPr>
          <w:rFonts w:ascii="Times New Roman" w:hAnsi="Times New Roman"/>
          <w:sz w:val="25"/>
          <w:szCs w:val="25"/>
        </w:rPr>
        <w:t>рассмотрения</w:t>
      </w:r>
      <w:r w:rsidR="00E549FA">
        <w:rPr>
          <w:rFonts w:ascii="Times New Roman" w:hAnsi="Times New Roman"/>
          <w:sz w:val="25"/>
          <w:szCs w:val="25"/>
        </w:rPr>
        <w:t xml:space="preserve"> законопроекта. В частности,</w:t>
      </w:r>
      <w:r w:rsidR="00873806" w:rsidRPr="00873806">
        <w:rPr>
          <w:rFonts w:ascii="Times New Roman" w:hAnsi="Times New Roman"/>
          <w:sz w:val="25"/>
          <w:szCs w:val="25"/>
        </w:rPr>
        <w:t xml:space="preserve"> </w:t>
      </w:r>
      <w:r w:rsidR="00873806">
        <w:rPr>
          <w:rFonts w:ascii="Times New Roman" w:hAnsi="Times New Roman"/>
          <w:sz w:val="25"/>
          <w:szCs w:val="25"/>
        </w:rPr>
        <w:t>н</w:t>
      </w:r>
      <w:r w:rsidRPr="00A13032">
        <w:rPr>
          <w:rFonts w:ascii="Times New Roman" w:hAnsi="Times New Roman"/>
          <w:sz w:val="25"/>
          <w:szCs w:val="25"/>
        </w:rPr>
        <w:t xml:space="preserve">а </w:t>
      </w:r>
      <w:r w:rsidR="00873806">
        <w:rPr>
          <w:rFonts w:ascii="Times New Roman" w:hAnsi="Times New Roman"/>
          <w:sz w:val="25"/>
          <w:szCs w:val="25"/>
        </w:rPr>
        <w:t>данный</w:t>
      </w:r>
      <w:r w:rsidR="006708F3">
        <w:rPr>
          <w:rFonts w:ascii="Times New Roman" w:hAnsi="Times New Roman"/>
          <w:sz w:val="25"/>
          <w:szCs w:val="25"/>
        </w:rPr>
        <w:t xml:space="preserve"> законопроект ссылался суд апелляционной инстанции </w:t>
      </w:r>
      <w:r w:rsidRPr="00A13032">
        <w:rPr>
          <w:rFonts w:ascii="Times New Roman" w:hAnsi="Times New Roman"/>
          <w:sz w:val="25"/>
          <w:szCs w:val="25"/>
        </w:rPr>
        <w:t>в деле</w:t>
      </w:r>
      <w:r w:rsidR="00873806">
        <w:rPr>
          <w:rFonts w:ascii="Times New Roman" w:hAnsi="Times New Roman"/>
          <w:sz w:val="25"/>
          <w:szCs w:val="25"/>
        </w:rPr>
        <w:t xml:space="preserve"> гражданина Царькова</w:t>
      </w:r>
      <w:r w:rsidR="0037111A">
        <w:rPr>
          <w:rStyle w:val="a6"/>
          <w:rFonts w:ascii="Times New Roman" w:hAnsi="Times New Roman"/>
          <w:sz w:val="25"/>
          <w:szCs w:val="25"/>
        </w:rPr>
        <w:footnoteReference w:id="2"/>
      </w:r>
      <w:r w:rsidR="00873806" w:rsidRPr="00873806">
        <w:rPr>
          <w:rFonts w:ascii="Times New Roman" w:hAnsi="Times New Roman"/>
          <w:sz w:val="25"/>
          <w:szCs w:val="25"/>
        </w:rPr>
        <w:t>;</w:t>
      </w:r>
      <w:r w:rsidRPr="00A13032">
        <w:rPr>
          <w:rFonts w:ascii="Times New Roman" w:hAnsi="Times New Roman"/>
          <w:sz w:val="25"/>
          <w:szCs w:val="25"/>
        </w:rPr>
        <w:t xml:space="preserve"> на </w:t>
      </w:r>
      <w:r w:rsidR="006708F3">
        <w:rPr>
          <w:rFonts w:ascii="Times New Roman" w:hAnsi="Times New Roman"/>
          <w:sz w:val="25"/>
          <w:szCs w:val="25"/>
        </w:rPr>
        <w:t>данном</w:t>
      </w:r>
      <w:r w:rsidRPr="00A13032">
        <w:rPr>
          <w:rFonts w:ascii="Times New Roman" w:hAnsi="Times New Roman"/>
          <w:sz w:val="25"/>
          <w:szCs w:val="25"/>
        </w:rPr>
        <w:t xml:space="preserve"> закон</w:t>
      </w:r>
      <w:r w:rsidR="006708F3">
        <w:rPr>
          <w:rFonts w:ascii="Times New Roman" w:hAnsi="Times New Roman"/>
          <w:sz w:val="25"/>
          <w:szCs w:val="25"/>
        </w:rPr>
        <w:t>е основывалась</w:t>
      </w:r>
      <w:r w:rsidRPr="00A13032">
        <w:rPr>
          <w:rFonts w:ascii="Times New Roman" w:hAnsi="Times New Roman"/>
          <w:sz w:val="25"/>
          <w:szCs w:val="25"/>
        </w:rPr>
        <w:t xml:space="preserve"> </w:t>
      </w:r>
      <w:r w:rsidR="00215B09">
        <w:rPr>
          <w:rFonts w:ascii="Times New Roman" w:hAnsi="Times New Roman"/>
          <w:sz w:val="25"/>
          <w:szCs w:val="25"/>
        </w:rPr>
        <w:t>П</w:t>
      </w:r>
      <w:r w:rsidR="00873806">
        <w:rPr>
          <w:rFonts w:ascii="Times New Roman" w:hAnsi="Times New Roman"/>
          <w:sz w:val="25"/>
          <w:szCs w:val="25"/>
        </w:rPr>
        <w:t>рокуратура</w:t>
      </w:r>
      <w:r w:rsidR="00215B09">
        <w:rPr>
          <w:rFonts w:ascii="Times New Roman" w:hAnsi="Times New Roman"/>
          <w:sz w:val="25"/>
          <w:szCs w:val="25"/>
        </w:rPr>
        <w:t xml:space="preserve"> Омской области</w:t>
      </w:r>
      <w:r w:rsidRPr="00A13032">
        <w:rPr>
          <w:rFonts w:ascii="Times New Roman" w:hAnsi="Times New Roman"/>
          <w:sz w:val="25"/>
          <w:szCs w:val="25"/>
        </w:rPr>
        <w:t>, отзывая свой иск о блокировке ресурса bestchange.ru</w:t>
      </w:r>
      <w:r w:rsidR="00BB557B">
        <w:rPr>
          <w:rStyle w:val="a6"/>
          <w:rFonts w:ascii="Times New Roman" w:hAnsi="Times New Roman"/>
          <w:sz w:val="25"/>
          <w:szCs w:val="25"/>
        </w:rPr>
        <w:footnoteReference w:id="3"/>
      </w:r>
      <w:r w:rsidR="00873806">
        <w:rPr>
          <w:rFonts w:ascii="Times New Roman" w:hAnsi="Times New Roman"/>
          <w:sz w:val="25"/>
          <w:szCs w:val="25"/>
        </w:rPr>
        <w:t xml:space="preserve"> и т.д.</w:t>
      </w:r>
      <w:r w:rsidR="00906231">
        <w:rPr>
          <w:rFonts w:ascii="Times New Roman" w:hAnsi="Times New Roman"/>
          <w:sz w:val="25"/>
          <w:szCs w:val="25"/>
        </w:rPr>
        <w:t xml:space="preserve"> Таким образом, изменения </w:t>
      </w:r>
      <w:r w:rsidRPr="00906231">
        <w:rPr>
          <w:rFonts w:ascii="Times New Roman" w:hAnsi="Times New Roman"/>
          <w:sz w:val="25"/>
          <w:szCs w:val="25"/>
        </w:rPr>
        <w:t>в ГК РФ (при всей их неодн</w:t>
      </w:r>
      <w:r w:rsidR="00906231">
        <w:rPr>
          <w:rFonts w:ascii="Times New Roman" w:hAnsi="Times New Roman"/>
          <w:sz w:val="25"/>
          <w:szCs w:val="25"/>
        </w:rPr>
        <w:t xml:space="preserve">означности) уже принесли </w:t>
      </w:r>
      <w:r w:rsidR="00E549FA">
        <w:rPr>
          <w:rFonts w:ascii="Times New Roman" w:hAnsi="Times New Roman"/>
          <w:sz w:val="25"/>
          <w:szCs w:val="25"/>
        </w:rPr>
        <w:t>определенную пользу</w:t>
      </w:r>
      <w:r w:rsidR="00906231">
        <w:rPr>
          <w:rFonts w:ascii="Times New Roman" w:hAnsi="Times New Roman"/>
          <w:sz w:val="25"/>
          <w:szCs w:val="25"/>
        </w:rPr>
        <w:t>.</w:t>
      </w:r>
    </w:p>
    <w:p w14:paraId="522C3620" w14:textId="0006A03A" w:rsidR="00447203" w:rsidRDefault="00A13032" w:rsidP="00215B09">
      <w:pPr>
        <w:spacing w:before="80" w:after="80"/>
        <w:ind w:firstLine="567"/>
        <w:jc w:val="both"/>
        <w:rPr>
          <w:rFonts w:ascii="Times New Roman" w:hAnsi="Times New Roman"/>
          <w:sz w:val="25"/>
          <w:szCs w:val="25"/>
        </w:rPr>
      </w:pPr>
      <w:r w:rsidRPr="00906231">
        <w:rPr>
          <w:rFonts w:ascii="Times New Roman" w:hAnsi="Times New Roman"/>
          <w:sz w:val="25"/>
          <w:szCs w:val="25"/>
        </w:rPr>
        <w:t xml:space="preserve">Тем не менее, </w:t>
      </w:r>
      <w:r w:rsidR="00906231" w:rsidRPr="00906231">
        <w:rPr>
          <w:rFonts w:ascii="Times New Roman" w:hAnsi="Times New Roman"/>
          <w:sz w:val="25"/>
          <w:szCs w:val="25"/>
        </w:rPr>
        <w:t xml:space="preserve">изменения </w:t>
      </w:r>
      <w:r w:rsidRPr="00906231">
        <w:rPr>
          <w:rFonts w:ascii="Times New Roman" w:hAnsi="Times New Roman"/>
          <w:sz w:val="25"/>
          <w:szCs w:val="25"/>
        </w:rPr>
        <w:t xml:space="preserve">в ГК РФ не совершенны, на что уже обращал внимание, например, </w:t>
      </w:r>
      <w:r w:rsidR="000859C4">
        <w:rPr>
          <w:rFonts w:ascii="Times New Roman" w:hAnsi="Times New Roman"/>
          <w:sz w:val="25"/>
          <w:szCs w:val="25"/>
        </w:rPr>
        <w:t>Совет</w:t>
      </w:r>
      <w:r w:rsidR="00906231" w:rsidRPr="00906231">
        <w:rPr>
          <w:rFonts w:ascii="Times New Roman" w:hAnsi="Times New Roman"/>
          <w:sz w:val="25"/>
          <w:szCs w:val="25"/>
        </w:rPr>
        <w:t xml:space="preserve"> при Президенте Российской Федерации по кодификации и совершенствованию гражданского законодательства </w:t>
      </w:r>
      <w:r w:rsidR="00906231" w:rsidRPr="0092495C">
        <w:rPr>
          <w:rFonts w:ascii="Times New Roman" w:hAnsi="Times New Roman"/>
          <w:sz w:val="25"/>
          <w:szCs w:val="25"/>
          <w:vertAlign w:val="superscript"/>
        </w:rPr>
        <w:footnoteReference w:id="4"/>
      </w:r>
      <w:r w:rsidRPr="00906231">
        <w:rPr>
          <w:rFonts w:ascii="Times New Roman" w:hAnsi="Times New Roman"/>
          <w:sz w:val="25"/>
          <w:szCs w:val="25"/>
        </w:rPr>
        <w:t>.</w:t>
      </w:r>
      <w:r w:rsidR="004D7A70">
        <w:rPr>
          <w:rFonts w:ascii="Times New Roman" w:hAnsi="Times New Roman"/>
          <w:sz w:val="25"/>
          <w:szCs w:val="25"/>
        </w:rPr>
        <w:t xml:space="preserve"> Именно поэтому в</w:t>
      </w:r>
      <w:r w:rsidR="00A97736" w:rsidRPr="00A97736">
        <w:rPr>
          <w:rFonts w:ascii="Times New Roman" w:hAnsi="Times New Roman"/>
          <w:sz w:val="25"/>
          <w:szCs w:val="25"/>
        </w:rPr>
        <w:t xml:space="preserve"> </w:t>
      </w:r>
      <w:r w:rsidR="00A97736">
        <w:rPr>
          <w:rFonts w:ascii="Times New Roman" w:hAnsi="Times New Roman"/>
          <w:sz w:val="25"/>
          <w:szCs w:val="25"/>
        </w:rPr>
        <w:t xml:space="preserve">настоящее время является важным, </w:t>
      </w:r>
      <w:r w:rsidR="00C62A87">
        <w:rPr>
          <w:rFonts w:ascii="Times New Roman" w:hAnsi="Times New Roman"/>
          <w:sz w:val="25"/>
          <w:szCs w:val="25"/>
        </w:rPr>
        <w:t>чтобы проекты</w:t>
      </w:r>
      <w:r w:rsidR="004D7A70">
        <w:rPr>
          <w:rFonts w:ascii="Times New Roman" w:hAnsi="Times New Roman"/>
          <w:sz w:val="25"/>
          <w:szCs w:val="25"/>
        </w:rPr>
        <w:t xml:space="preserve"> </w:t>
      </w:r>
      <w:r w:rsidR="004D7A70" w:rsidRPr="004D7A70">
        <w:rPr>
          <w:rFonts w:ascii="Times New Roman" w:hAnsi="Times New Roman"/>
          <w:sz w:val="25"/>
          <w:szCs w:val="25"/>
        </w:rPr>
        <w:t>федеральных законов «</w:t>
      </w:r>
      <w:r w:rsidR="00C62A87">
        <w:rPr>
          <w:rFonts w:ascii="Times New Roman" w:hAnsi="Times New Roman"/>
          <w:sz w:val="25"/>
          <w:szCs w:val="25"/>
        </w:rPr>
        <w:t xml:space="preserve">О цифровых финансовых активах» </w:t>
      </w:r>
      <w:r w:rsidR="004D7A70" w:rsidRPr="004D7A70">
        <w:rPr>
          <w:rFonts w:ascii="Times New Roman" w:hAnsi="Times New Roman"/>
          <w:sz w:val="25"/>
          <w:szCs w:val="25"/>
        </w:rPr>
        <w:t>№ 419059-7</w:t>
      </w:r>
      <w:r w:rsidR="00C62A87">
        <w:rPr>
          <w:rFonts w:ascii="Times New Roman" w:hAnsi="Times New Roman"/>
          <w:sz w:val="25"/>
          <w:szCs w:val="25"/>
        </w:rPr>
        <w:t xml:space="preserve"> (далее – «</w:t>
      </w:r>
      <w:r w:rsidR="00C62A87" w:rsidRPr="00FD3849">
        <w:rPr>
          <w:rFonts w:ascii="Times New Roman" w:hAnsi="Times New Roman"/>
          <w:b/>
          <w:sz w:val="25"/>
          <w:szCs w:val="25"/>
        </w:rPr>
        <w:t>проект закона о ЦФА</w:t>
      </w:r>
      <w:r w:rsidR="00C62A87">
        <w:rPr>
          <w:rFonts w:ascii="Times New Roman" w:hAnsi="Times New Roman"/>
          <w:sz w:val="25"/>
          <w:szCs w:val="25"/>
        </w:rPr>
        <w:t>»)</w:t>
      </w:r>
      <w:r w:rsidR="004D7A70" w:rsidRPr="004D7A70">
        <w:rPr>
          <w:rFonts w:ascii="Times New Roman" w:hAnsi="Times New Roman"/>
          <w:sz w:val="25"/>
          <w:szCs w:val="25"/>
        </w:rPr>
        <w:t xml:space="preserve"> и «О привлечении </w:t>
      </w:r>
      <w:r w:rsidR="004D7A70" w:rsidRPr="004D7A70">
        <w:rPr>
          <w:rFonts w:ascii="Times New Roman" w:hAnsi="Times New Roman"/>
          <w:sz w:val="25"/>
          <w:szCs w:val="25"/>
        </w:rPr>
        <w:lastRenderedPageBreak/>
        <w:t>инвестиций с использованием инвестиционных платформ»</w:t>
      </w:r>
      <w:r w:rsidR="00C62A87">
        <w:rPr>
          <w:rFonts w:ascii="Times New Roman" w:hAnsi="Times New Roman"/>
          <w:sz w:val="25"/>
          <w:szCs w:val="25"/>
        </w:rPr>
        <w:t xml:space="preserve"> </w:t>
      </w:r>
      <w:r w:rsidR="004D7A70" w:rsidRPr="004D7A70">
        <w:rPr>
          <w:rFonts w:ascii="Times New Roman" w:hAnsi="Times New Roman"/>
          <w:sz w:val="25"/>
          <w:szCs w:val="25"/>
        </w:rPr>
        <w:t>№</w:t>
      </w:r>
      <w:r w:rsidR="00706208">
        <w:rPr>
          <w:rFonts w:ascii="Times New Roman" w:hAnsi="Times New Roman"/>
          <w:sz w:val="25"/>
          <w:szCs w:val="25"/>
        </w:rPr>
        <w:t xml:space="preserve"> </w:t>
      </w:r>
      <w:r w:rsidR="004D7A70" w:rsidRPr="004D7A70">
        <w:rPr>
          <w:rFonts w:ascii="Times New Roman" w:hAnsi="Times New Roman"/>
          <w:sz w:val="25"/>
          <w:szCs w:val="25"/>
        </w:rPr>
        <w:t>419090-7</w:t>
      </w:r>
      <w:r w:rsidR="00C62A87">
        <w:rPr>
          <w:rFonts w:ascii="Times New Roman" w:hAnsi="Times New Roman"/>
          <w:sz w:val="25"/>
          <w:szCs w:val="25"/>
        </w:rPr>
        <w:t xml:space="preserve"> (</w:t>
      </w:r>
      <w:r w:rsidR="00C62A87" w:rsidRPr="00A97736">
        <w:rPr>
          <w:rFonts w:ascii="Times New Roman" w:hAnsi="Times New Roman"/>
          <w:sz w:val="25"/>
          <w:szCs w:val="25"/>
        </w:rPr>
        <w:t>далее – «</w:t>
      </w:r>
      <w:r w:rsidR="00C62A87" w:rsidRPr="00FD3849">
        <w:rPr>
          <w:rFonts w:ascii="Times New Roman" w:hAnsi="Times New Roman"/>
          <w:b/>
          <w:sz w:val="25"/>
          <w:szCs w:val="25"/>
        </w:rPr>
        <w:t>проект закона о краудфандинге</w:t>
      </w:r>
      <w:r w:rsidR="00C62A87" w:rsidRPr="00A97736">
        <w:rPr>
          <w:rFonts w:ascii="Times New Roman" w:hAnsi="Times New Roman"/>
          <w:sz w:val="25"/>
          <w:szCs w:val="25"/>
        </w:rPr>
        <w:t>»</w:t>
      </w:r>
      <w:r w:rsidR="00C62A87">
        <w:rPr>
          <w:rFonts w:ascii="Times New Roman" w:hAnsi="Times New Roman"/>
          <w:sz w:val="25"/>
          <w:szCs w:val="25"/>
        </w:rPr>
        <w:t>)</w:t>
      </w:r>
      <w:r w:rsidR="00A97736">
        <w:rPr>
          <w:rFonts w:ascii="Times New Roman" w:hAnsi="Times New Roman"/>
          <w:sz w:val="25"/>
          <w:szCs w:val="25"/>
        </w:rPr>
        <w:t xml:space="preserve"> могли </w:t>
      </w:r>
      <w:r w:rsidR="004D7A70">
        <w:rPr>
          <w:rFonts w:ascii="Times New Roman" w:hAnsi="Times New Roman"/>
          <w:sz w:val="25"/>
          <w:szCs w:val="25"/>
        </w:rPr>
        <w:t>устранить имеющиеся пробелы</w:t>
      </w:r>
      <w:r w:rsidR="00FA57BA">
        <w:rPr>
          <w:rFonts w:ascii="Times New Roman" w:hAnsi="Times New Roman"/>
          <w:sz w:val="25"/>
          <w:szCs w:val="25"/>
        </w:rPr>
        <w:t>, неточности и противоречия</w:t>
      </w:r>
      <w:r w:rsidR="004D7A70">
        <w:rPr>
          <w:rFonts w:ascii="Times New Roman" w:hAnsi="Times New Roman"/>
          <w:sz w:val="25"/>
          <w:szCs w:val="25"/>
        </w:rPr>
        <w:t xml:space="preserve"> в этой отрасли.</w:t>
      </w:r>
      <w:r w:rsidR="00B519F6">
        <w:rPr>
          <w:rFonts w:ascii="Times New Roman" w:hAnsi="Times New Roman"/>
          <w:sz w:val="25"/>
          <w:szCs w:val="25"/>
        </w:rPr>
        <w:t xml:space="preserve"> Рассмотрев </w:t>
      </w:r>
      <w:r w:rsidR="00F9350C">
        <w:rPr>
          <w:rFonts w:ascii="Times New Roman" w:hAnsi="Times New Roman"/>
          <w:sz w:val="25"/>
          <w:szCs w:val="25"/>
        </w:rPr>
        <w:t>вышеуказанные законопроекты,</w:t>
      </w:r>
      <w:r w:rsidR="00B519F6">
        <w:rPr>
          <w:rFonts w:ascii="Times New Roman" w:hAnsi="Times New Roman"/>
          <w:sz w:val="25"/>
          <w:szCs w:val="25"/>
        </w:rPr>
        <w:t xml:space="preserve"> Комиссия </w:t>
      </w:r>
      <w:r w:rsidR="00E549FA">
        <w:rPr>
          <w:rFonts w:ascii="Times New Roman" w:hAnsi="Times New Roman"/>
          <w:sz w:val="25"/>
          <w:szCs w:val="25"/>
        </w:rPr>
        <w:t>пришла к следующим выводам</w:t>
      </w:r>
      <w:r w:rsidR="00B519F6">
        <w:rPr>
          <w:rFonts w:ascii="Times New Roman" w:hAnsi="Times New Roman"/>
          <w:sz w:val="25"/>
          <w:szCs w:val="25"/>
        </w:rPr>
        <w:t>.</w:t>
      </w:r>
    </w:p>
    <w:p w14:paraId="116AC297" w14:textId="77777777" w:rsidR="0074181E" w:rsidRDefault="0074181E" w:rsidP="00215B09">
      <w:pPr>
        <w:spacing w:before="80" w:after="80"/>
        <w:ind w:firstLine="567"/>
        <w:jc w:val="both"/>
        <w:rPr>
          <w:rFonts w:ascii="Times New Roman" w:hAnsi="Times New Roman"/>
          <w:sz w:val="25"/>
          <w:szCs w:val="25"/>
        </w:rPr>
      </w:pPr>
    </w:p>
    <w:p w14:paraId="3B254520" w14:textId="77777777" w:rsidR="00AC12C9" w:rsidRPr="00AC12C9" w:rsidRDefault="00AC12C9" w:rsidP="0092495C">
      <w:pPr>
        <w:spacing w:before="80" w:after="80"/>
        <w:ind w:firstLine="567"/>
        <w:jc w:val="center"/>
        <w:rPr>
          <w:rFonts w:ascii="Times New Roman" w:hAnsi="Times New Roman"/>
          <w:i/>
          <w:sz w:val="25"/>
          <w:szCs w:val="25"/>
        </w:rPr>
      </w:pPr>
      <w:r>
        <w:rPr>
          <w:rFonts w:ascii="Times New Roman" w:hAnsi="Times New Roman"/>
          <w:i/>
          <w:sz w:val="25"/>
          <w:szCs w:val="25"/>
          <w:lang w:val="en-US"/>
        </w:rPr>
        <w:t>I</w:t>
      </w:r>
    </w:p>
    <w:p w14:paraId="6499553A" w14:textId="1FD9ACE0" w:rsidR="00A97736" w:rsidRDefault="00A97736" w:rsidP="0092495C">
      <w:pPr>
        <w:spacing w:before="80" w:after="80"/>
        <w:ind w:firstLine="567"/>
        <w:jc w:val="center"/>
        <w:rPr>
          <w:rFonts w:ascii="Times New Roman" w:hAnsi="Times New Roman"/>
          <w:i/>
          <w:sz w:val="25"/>
          <w:szCs w:val="25"/>
        </w:rPr>
      </w:pPr>
      <w:r w:rsidRPr="00B429BA">
        <w:rPr>
          <w:rFonts w:ascii="Times New Roman" w:hAnsi="Times New Roman"/>
          <w:i/>
          <w:sz w:val="25"/>
          <w:szCs w:val="25"/>
        </w:rPr>
        <w:t>Термины и понятия, используемые в законопроектах</w:t>
      </w:r>
    </w:p>
    <w:p w14:paraId="5048B5BA" w14:textId="77777777" w:rsidR="00FA09B7" w:rsidRPr="00B429BA" w:rsidRDefault="00FA09B7" w:rsidP="0092495C">
      <w:pPr>
        <w:spacing w:before="80" w:after="80"/>
        <w:ind w:firstLine="567"/>
        <w:jc w:val="center"/>
        <w:rPr>
          <w:rFonts w:ascii="Times New Roman" w:hAnsi="Times New Roman"/>
          <w:i/>
          <w:sz w:val="25"/>
          <w:szCs w:val="25"/>
        </w:rPr>
      </w:pPr>
    </w:p>
    <w:p w14:paraId="12139482" w14:textId="77A79860" w:rsidR="00906867" w:rsidRDefault="00C62A87" w:rsidP="005D4A81">
      <w:pPr>
        <w:spacing w:before="80" w:after="80"/>
        <w:ind w:firstLine="567"/>
        <w:jc w:val="both"/>
        <w:rPr>
          <w:rFonts w:ascii="Times New Roman" w:hAnsi="Times New Roman"/>
          <w:sz w:val="25"/>
          <w:szCs w:val="25"/>
        </w:rPr>
      </w:pPr>
      <w:r>
        <w:rPr>
          <w:rFonts w:ascii="Times New Roman" w:hAnsi="Times New Roman"/>
          <w:sz w:val="25"/>
          <w:szCs w:val="25"/>
        </w:rPr>
        <w:t>1</w:t>
      </w:r>
      <w:r w:rsidR="00906867" w:rsidRPr="00906867">
        <w:rPr>
          <w:rFonts w:ascii="Times New Roman" w:hAnsi="Times New Roman"/>
          <w:sz w:val="25"/>
          <w:szCs w:val="25"/>
        </w:rPr>
        <w:t xml:space="preserve">. </w:t>
      </w:r>
      <w:r w:rsidR="00906867">
        <w:rPr>
          <w:rFonts w:ascii="Times New Roman" w:hAnsi="Times New Roman"/>
          <w:sz w:val="25"/>
          <w:szCs w:val="25"/>
        </w:rPr>
        <w:t>Проектом закона</w:t>
      </w:r>
      <w:r w:rsidR="00906867" w:rsidRPr="00911B2D">
        <w:rPr>
          <w:rFonts w:ascii="Times New Roman" w:hAnsi="Times New Roman"/>
          <w:sz w:val="25"/>
          <w:szCs w:val="25"/>
        </w:rPr>
        <w:t xml:space="preserve"> </w:t>
      </w:r>
      <w:r w:rsidR="000859C4">
        <w:rPr>
          <w:rFonts w:ascii="Times New Roman" w:hAnsi="Times New Roman"/>
          <w:sz w:val="25"/>
          <w:szCs w:val="25"/>
        </w:rPr>
        <w:t>о</w:t>
      </w:r>
      <w:r w:rsidR="00906867">
        <w:rPr>
          <w:rFonts w:ascii="Times New Roman" w:hAnsi="Times New Roman"/>
          <w:sz w:val="25"/>
          <w:szCs w:val="25"/>
        </w:rPr>
        <w:t xml:space="preserve"> ЦФА</w:t>
      </w:r>
      <w:r w:rsidR="00906867" w:rsidRPr="00911B2D">
        <w:rPr>
          <w:rFonts w:ascii="Times New Roman" w:hAnsi="Times New Roman"/>
          <w:sz w:val="25"/>
          <w:szCs w:val="25"/>
        </w:rPr>
        <w:t xml:space="preserve"> предлагается урегулировать отношения, возникающие при создании, выпуске, хранении и обороте цифровых финансовых активов</w:t>
      </w:r>
      <w:r w:rsidR="00906867">
        <w:rPr>
          <w:rFonts w:ascii="Times New Roman" w:hAnsi="Times New Roman"/>
          <w:sz w:val="25"/>
          <w:szCs w:val="25"/>
        </w:rPr>
        <w:t xml:space="preserve"> (далее «</w:t>
      </w:r>
      <w:r w:rsidR="00906867" w:rsidRPr="001E5EF1">
        <w:rPr>
          <w:rFonts w:ascii="Times New Roman" w:hAnsi="Times New Roman"/>
          <w:sz w:val="25"/>
          <w:szCs w:val="25"/>
        </w:rPr>
        <w:t>ЦФА</w:t>
      </w:r>
      <w:r w:rsidR="00906867">
        <w:rPr>
          <w:rFonts w:ascii="Times New Roman" w:hAnsi="Times New Roman"/>
          <w:sz w:val="25"/>
          <w:szCs w:val="25"/>
        </w:rPr>
        <w:t>»)</w:t>
      </w:r>
      <w:r w:rsidR="00906867" w:rsidRPr="00911B2D">
        <w:rPr>
          <w:rFonts w:ascii="Times New Roman" w:hAnsi="Times New Roman"/>
          <w:sz w:val="25"/>
          <w:szCs w:val="25"/>
        </w:rPr>
        <w:t>.</w:t>
      </w:r>
      <w:r w:rsidR="00A32A00">
        <w:rPr>
          <w:rFonts w:ascii="Times New Roman" w:hAnsi="Times New Roman"/>
          <w:sz w:val="25"/>
          <w:szCs w:val="25"/>
        </w:rPr>
        <w:t xml:space="preserve"> </w:t>
      </w:r>
      <w:r w:rsidR="00906867" w:rsidRPr="00911B2D">
        <w:rPr>
          <w:rFonts w:ascii="Times New Roman" w:hAnsi="Times New Roman"/>
          <w:sz w:val="25"/>
          <w:szCs w:val="25"/>
        </w:rPr>
        <w:t xml:space="preserve">В </w:t>
      </w:r>
      <w:r w:rsidR="00906867">
        <w:rPr>
          <w:rFonts w:ascii="Times New Roman" w:hAnsi="Times New Roman"/>
          <w:sz w:val="25"/>
          <w:szCs w:val="25"/>
        </w:rPr>
        <w:t xml:space="preserve">проекте </w:t>
      </w:r>
      <w:r w:rsidR="00906867" w:rsidRPr="00911B2D">
        <w:rPr>
          <w:rFonts w:ascii="Times New Roman" w:hAnsi="Times New Roman"/>
          <w:sz w:val="25"/>
          <w:szCs w:val="25"/>
        </w:rPr>
        <w:t>закон</w:t>
      </w:r>
      <w:r w:rsidR="00906867">
        <w:rPr>
          <w:rFonts w:ascii="Times New Roman" w:hAnsi="Times New Roman"/>
          <w:sz w:val="25"/>
          <w:szCs w:val="25"/>
        </w:rPr>
        <w:t>а о ЦФА</w:t>
      </w:r>
      <w:r w:rsidR="00906867" w:rsidRPr="00911B2D">
        <w:rPr>
          <w:rFonts w:ascii="Times New Roman" w:hAnsi="Times New Roman"/>
          <w:sz w:val="25"/>
          <w:szCs w:val="25"/>
        </w:rPr>
        <w:t xml:space="preserve"> также появилось понятие цифровых операционных знаков</w:t>
      </w:r>
      <w:r w:rsidR="00906867">
        <w:rPr>
          <w:rFonts w:ascii="Times New Roman" w:hAnsi="Times New Roman"/>
          <w:sz w:val="25"/>
          <w:szCs w:val="25"/>
        </w:rPr>
        <w:t>, под которым следует понимать</w:t>
      </w:r>
      <w:r w:rsidR="00906867" w:rsidRPr="00911B2D">
        <w:rPr>
          <w:rFonts w:ascii="Times New Roman" w:hAnsi="Times New Roman"/>
          <w:sz w:val="25"/>
          <w:szCs w:val="25"/>
        </w:rPr>
        <w:t xml:space="preserve"> криптовалюты. </w:t>
      </w:r>
      <w:r w:rsidR="00906867">
        <w:rPr>
          <w:rFonts w:ascii="Times New Roman" w:hAnsi="Times New Roman"/>
          <w:sz w:val="25"/>
          <w:szCs w:val="25"/>
        </w:rPr>
        <w:t>Однако законопроекты не раскрывают это понятие, его правовую сущность, природу и порядок обращения</w:t>
      </w:r>
      <w:r w:rsidR="005D4A81" w:rsidRPr="005D4A81">
        <w:rPr>
          <w:rFonts w:ascii="Times New Roman" w:hAnsi="Times New Roman"/>
          <w:sz w:val="25"/>
          <w:szCs w:val="25"/>
        </w:rPr>
        <w:t xml:space="preserve"> Главное, что нормы рассматриваемых актов не позволяют однозначно разграничить</w:t>
      </w:r>
      <w:r w:rsidR="005D4A81">
        <w:rPr>
          <w:rFonts w:ascii="Times New Roman" w:hAnsi="Times New Roman"/>
          <w:sz w:val="25"/>
          <w:szCs w:val="25"/>
        </w:rPr>
        <w:t xml:space="preserve"> </w:t>
      </w:r>
      <w:r w:rsidR="005D4A81" w:rsidRPr="005D4A81">
        <w:rPr>
          <w:rFonts w:ascii="Times New Roman" w:hAnsi="Times New Roman"/>
          <w:sz w:val="25"/>
          <w:szCs w:val="25"/>
        </w:rPr>
        <w:t>новые объекты регулирования, четко отделить их по функционалу, применимости</w:t>
      </w:r>
      <w:r w:rsidR="005D4A81">
        <w:rPr>
          <w:rFonts w:ascii="Times New Roman" w:hAnsi="Times New Roman"/>
          <w:sz w:val="25"/>
          <w:szCs w:val="25"/>
        </w:rPr>
        <w:t xml:space="preserve"> иных актов</w:t>
      </w:r>
      <w:r w:rsidR="00906867">
        <w:rPr>
          <w:rFonts w:ascii="Times New Roman" w:hAnsi="Times New Roman"/>
          <w:sz w:val="25"/>
          <w:szCs w:val="25"/>
        </w:rPr>
        <w:t>. Данное обстоятельство может привести к отсутствию единообразия в практике правоприменительных органов, что может негативно сказаться на участниках рынка и владельцах рассматриваемых активов.</w:t>
      </w:r>
    </w:p>
    <w:p w14:paraId="14350D4E" w14:textId="0B5BBA06" w:rsidR="00906867" w:rsidRDefault="00906867" w:rsidP="001E5EF1">
      <w:pPr>
        <w:spacing w:before="80" w:after="80"/>
        <w:ind w:firstLine="567"/>
        <w:jc w:val="both"/>
        <w:rPr>
          <w:rFonts w:ascii="Times New Roman" w:hAnsi="Times New Roman"/>
          <w:sz w:val="25"/>
          <w:szCs w:val="25"/>
        </w:rPr>
      </w:pPr>
      <w:r w:rsidRPr="00B429BA">
        <w:rPr>
          <w:rFonts w:ascii="Times New Roman" w:hAnsi="Times New Roman"/>
          <w:sz w:val="25"/>
          <w:szCs w:val="25"/>
        </w:rPr>
        <w:t xml:space="preserve">Использование </w:t>
      </w:r>
      <w:r>
        <w:rPr>
          <w:rFonts w:ascii="Times New Roman" w:hAnsi="Times New Roman"/>
          <w:sz w:val="25"/>
          <w:szCs w:val="25"/>
        </w:rPr>
        <w:t xml:space="preserve">платежно-расчетной </w:t>
      </w:r>
      <w:r w:rsidRPr="00B429BA">
        <w:rPr>
          <w:rFonts w:ascii="Times New Roman" w:hAnsi="Times New Roman"/>
          <w:sz w:val="25"/>
          <w:szCs w:val="25"/>
        </w:rPr>
        <w:t>криптовалюты</w:t>
      </w:r>
      <w:r>
        <w:rPr>
          <w:rFonts w:ascii="Times New Roman" w:hAnsi="Times New Roman"/>
          <w:sz w:val="25"/>
          <w:szCs w:val="25"/>
        </w:rPr>
        <w:t xml:space="preserve">, выпущенной </w:t>
      </w:r>
      <w:r w:rsidRPr="00B429BA">
        <w:rPr>
          <w:rFonts w:ascii="Times New Roman" w:hAnsi="Times New Roman"/>
          <w:sz w:val="25"/>
          <w:szCs w:val="25"/>
        </w:rPr>
        <w:t>на распределенных реестрах</w:t>
      </w:r>
      <w:r>
        <w:rPr>
          <w:rFonts w:ascii="Times New Roman" w:hAnsi="Times New Roman"/>
          <w:sz w:val="25"/>
          <w:szCs w:val="25"/>
        </w:rPr>
        <w:t>, получило</w:t>
      </w:r>
      <w:r w:rsidRPr="00B429BA">
        <w:rPr>
          <w:rFonts w:ascii="Times New Roman" w:hAnsi="Times New Roman"/>
          <w:sz w:val="25"/>
          <w:szCs w:val="25"/>
        </w:rPr>
        <w:t xml:space="preserve"> широко</w:t>
      </w:r>
      <w:r>
        <w:rPr>
          <w:rFonts w:ascii="Times New Roman" w:hAnsi="Times New Roman"/>
          <w:sz w:val="25"/>
          <w:szCs w:val="25"/>
        </w:rPr>
        <w:t>е</w:t>
      </w:r>
      <w:r w:rsidRPr="00B429BA">
        <w:rPr>
          <w:rFonts w:ascii="Times New Roman" w:hAnsi="Times New Roman"/>
          <w:sz w:val="25"/>
          <w:szCs w:val="25"/>
        </w:rPr>
        <w:t xml:space="preserve"> распростране</w:t>
      </w:r>
      <w:r>
        <w:rPr>
          <w:rFonts w:ascii="Times New Roman" w:hAnsi="Times New Roman"/>
          <w:sz w:val="25"/>
          <w:szCs w:val="25"/>
        </w:rPr>
        <w:t>ние в мире</w:t>
      </w:r>
      <w:r w:rsidRPr="00B429BA">
        <w:rPr>
          <w:rFonts w:ascii="Times New Roman" w:hAnsi="Times New Roman"/>
          <w:sz w:val="25"/>
          <w:szCs w:val="25"/>
        </w:rPr>
        <w:t xml:space="preserve"> в связи с упрощением расчетных процедур, в том числе за счет автоматизации </w:t>
      </w:r>
      <w:r>
        <w:rPr>
          <w:rFonts w:ascii="Times New Roman" w:hAnsi="Times New Roman"/>
          <w:sz w:val="25"/>
          <w:szCs w:val="25"/>
        </w:rPr>
        <w:t>бизнес-</w:t>
      </w:r>
      <w:r w:rsidRPr="00B429BA">
        <w:rPr>
          <w:rFonts w:ascii="Times New Roman" w:hAnsi="Times New Roman"/>
          <w:sz w:val="25"/>
          <w:szCs w:val="25"/>
        </w:rPr>
        <w:t xml:space="preserve">процессов, а также снижением издержек. </w:t>
      </w:r>
      <w:r w:rsidRPr="00276982">
        <w:rPr>
          <w:rFonts w:ascii="Times New Roman" w:hAnsi="Times New Roman"/>
          <w:sz w:val="25"/>
          <w:szCs w:val="25"/>
        </w:rPr>
        <w:t>Криптовалюта в настоящее время признается легальным объектом гражданского оборота во многих развитых странах мира</w:t>
      </w:r>
      <w:r w:rsidRPr="00B429BA">
        <w:rPr>
          <w:rFonts w:ascii="Times New Roman" w:hAnsi="Times New Roman"/>
          <w:sz w:val="25"/>
          <w:szCs w:val="25"/>
        </w:rPr>
        <w:t>.</w:t>
      </w:r>
      <w:r w:rsidR="00276982">
        <w:rPr>
          <w:rStyle w:val="a6"/>
          <w:rFonts w:ascii="Times New Roman" w:hAnsi="Times New Roman"/>
          <w:sz w:val="25"/>
          <w:szCs w:val="25"/>
        </w:rPr>
        <w:footnoteReference w:id="5"/>
      </w:r>
      <w:r w:rsidRPr="00B429BA">
        <w:rPr>
          <w:rFonts w:ascii="Times New Roman" w:hAnsi="Times New Roman"/>
          <w:sz w:val="25"/>
          <w:szCs w:val="25"/>
        </w:rPr>
        <w:t xml:space="preserve"> </w:t>
      </w:r>
      <w:r>
        <w:rPr>
          <w:rFonts w:ascii="Times New Roman" w:hAnsi="Times New Roman"/>
          <w:sz w:val="25"/>
          <w:szCs w:val="25"/>
        </w:rPr>
        <w:t>Крип</w:t>
      </w:r>
      <w:r w:rsidR="00276982">
        <w:rPr>
          <w:rFonts w:ascii="Times New Roman" w:hAnsi="Times New Roman"/>
          <w:sz w:val="25"/>
          <w:szCs w:val="25"/>
        </w:rPr>
        <w:t>т</w:t>
      </w:r>
      <w:r>
        <w:rPr>
          <w:rFonts w:ascii="Times New Roman" w:hAnsi="Times New Roman"/>
          <w:sz w:val="25"/>
          <w:szCs w:val="25"/>
        </w:rPr>
        <w:t xml:space="preserve">овалюта (например, </w:t>
      </w:r>
      <w:r w:rsidR="003430E2">
        <w:rPr>
          <w:rFonts w:ascii="Times New Roman" w:hAnsi="Times New Roman"/>
          <w:sz w:val="25"/>
          <w:szCs w:val="25"/>
          <w:lang w:val="en-US"/>
        </w:rPr>
        <w:t>Bitcoin</w:t>
      </w:r>
      <w:r>
        <w:rPr>
          <w:rFonts w:ascii="Times New Roman" w:hAnsi="Times New Roman"/>
          <w:sz w:val="25"/>
          <w:szCs w:val="25"/>
        </w:rPr>
        <w:t xml:space="preserve">) принимается в оплату услуг ведущих мировых </w:t>
      </w:r>
      <w:r w:rsidRPr="001E5EF1">
        <w:rPr>
          <w:rFonts w:ascii="Times New Roman" w:hAnsi="Times New Roman"/>
          <w:sz w:val="25"/>
          <w:szCs w:val="25"/>
        </w:rPr>
        <w:t>IT</w:t>
      </w:r>
      <w:r w:rsidRPr="00936721">
        <w:rPr>
          <w:rFonts w:ascii="Times New Roman" w:hAnsi="Times New Roman"/>
          <w:sz w:val="25"/>
          <w:szCs w:val="25"/>
        </w:rPr>
        <w:t xml:space="preserve"> </w:t>
      </w:r>
      <w:r>
        <w:rPr>
          <w:rFonts w:ascii="Times New Roman" w:hAnsi="Times New Roman"/>
          <w:sz w:val="25"/>
          <w:szCs w:val="25"/>
        </w:rPr>
        <w:t xml:space="preserve">гигантов, таких как </w:t>
      </w:r>
      <w:r w:rsidR="003430E2">
        <w:rPr>
          <w:rFonts w:ascii="Times New Roman" w:hAnsi="Times New Roman"/>
          <w:sz w:val="25"/>
          <w:szCs w:val="25"/>
          <w:lang w:val="en-US"/>
        </w:rPr>
        <w:t>Microsoft</w:t>
      </w:r>
      <w:r>
        <w:rPr>
          <w:rFonts w:ascii="Times New Roman" w:hAnsi="Times New Roman"/>
          <w:sz w:val="25"/>
          <w:szCs w:val="25"/>
        </w:rPr>
        <w:t xml:space="preserve">, </w:t>
      </w:r>
      <w:r w:rsidR="003430E2">
        <w:rPr>
          <w:rFonts w:ascii="Times New Roman" w:hAnsi="Times New Roman"/>
          <w:sz w:val="25"/>
          <w:szCs w:val="25"/>
          <w:lang w:val="en-US"/>
        </w:rPr>
        <w:t>Amazon</w:t>
      </w:r>
      <w:r w:rsidR="003430E2">
        <w:rPr>
          <w:rFonts w:ascii="Times New Roman" w:hAnsi="Times New Roman"/>
          <w:sz w:val="25"/>
          <w:szCs w:val="25"/>
        </w:rPr>
        <w:t xml:space="preserve"> </w:t>
      </w:r>
      <w:r>
        <w:rPr>
          <w:rFonts w:ascii="Times New Roman" w:hAnsi="Times New Roman"/>
          <w:sz w:val="25"/>
          <w:szCs w:val="25"/>
        </w:rPr>
        <w:t>и других</w:t>
      </w:r>
      <w:r w:rsidR="00FE486A">
        <w:rPr>
          <w:rStyle w:val="a6"/>
          <w:rFonts w:ascii="Times New Roman" w:hAnsi="Times New Roman"/>
          <w:sz w:val="25"/>
          <w:szCs w:val="25"/>
        </w:rPr>
        <w:footnoteReference w:id="6"/>
      </w:r>
      <w:r>
        <w:rPr>
          <w:rFonts w:ascii="Times New Roman" w:hAnsi="Times New Roman"/>
          <w:sz w:val="25"/>
          <w:szCs w:val="25"/>
        </w:rPr>
        <w:t xml:space="preserve">. </w:t>
      </w:r>
      <w:r w:rsidRPr="00B429BA">
        <w:rPr>
          <w:rFonts w:ascii="Times New Roman" w:hAnsi="Times New Roman"/>
          <w:sz w:val="25"/>
          <w:szCs w:val="25"/>
        </w:rPr>
        <w:t xml:space="preserve">Проекты законов о </w:t>
      </w:r>
      <w:r>
        <w:rPr>
          <w:rFonts w:ascii="Times New Roman" w:hAnsi="Times New Roman"/>
          <w:sz w:val="25"/>
          <w:szCs w:val="25"/>
        </w:rPr>
        <w:t>ЦФА</w:t>
      </w:r>
      <w:r w:rsidRPr="00B429BA">
        <w:rPr>
          <w:rFonts w:ascii="Times New Roman" w:hAnsi="Times New Roman"/>
          <w:sz w:val="25"/>
          <w:szCs w:val="25"/>
        </w:rPr>
        <w:t xml:space="preserve"> и </w:t>
      </w:r>
      <w:r>
        <w:rPr>
          <w:rFonts w:ascii="Times New Roman" w:hAnsi="Times New Roman"/>
          <w:sz w:val="25"/>
          <w:szCs w:val="25"/>
        </w:rPr>
        <w:t>о краудфандинге</w:t>
      </w:r>
      <w:r w:rsidRPr="00B429BA">
        <w:rPr>
          <w:rFonts w:ascii="Times New Roman" w:hAnsi="Times New Roman"/>
          <w:sz w:val="25"/>
          <w:szCs w:val="25"/>
        </w:rPr>
        <w:t xml:space="preserve"> оставляют за рамками регулирования </w:t>
      </w:r>
      <w:r>
        <w:rPr>
          <w:rFonts w:ascii="Times New Roman" w:hAnsi="Times New Roman"/>
          <w:sz w:val="25"/>
          <w:szCs w:val="25"/>
        </w:rPr>
        <w:t xml:space="preserve">классические платежные </w:t>
      </w:r>
      <w:r w:rsidRPr="00B429BA">
        <w:rPr>
          <w:rFonts w:ascii="Times New Roman" w:hAnsi="Times New Roman"/>
          <w:sz w:val="25"/>
          <w:szCs w:val="25"/>
        </w:rPr>
        <w:t xml:space="preserve">криптовалюты, допуская лишь возможность использования внутри каждой информационной системы собственных цифровых операционных знаков в случаях и в порядке, определяемых Банком России. </w:t>
      </w:r>
    </w:p>
    <w:p w14:paraId="5E8C20C6" w14:textId="2B707F9A" w:rsidR="005D4A81" w:rsidRPr="005D4A81" w:rsidRDefault="00C84B1D" w:rsidP="00C84B1D">
      <w:pPr>
        <w:spacing w:before="80" w:after="80"/>
        <w:ind w:firstLine="567"/>
        <w:jc w:val="both"/>
        <w:rPr>
          <w:rFonts w:ascii="Times New Roman" w:hAnsi="Times New Roman"/>
          <w:sz w:val="25"/>
          <w:szCs w:val="25"/>
        </w:rPr>
      </w:pPr>
      <w:r>
        <w:rPr>
          <w:rFonts w:ascii="Times New Roman" w:hAnsi="Times New Roman"/>
          <w:sz w:val="25"/>
          <w:szCs w:val="25"/>
        </w:rPr>
        <w:t>В</w:t>
      </w:r>
      <w:r w:rsidR="005D4A81" w:rsidRPr="005D4A81">
        <w:rPr>
          <w:rFonts w:ascii="Times New Roman" w:hAnsi="Times New Roman"/>
          <w:sz w:val="25"/>
          <w:szCs w:val="25"/>
        </w:rPr>
        <w:t xml:space="preserve"> связи с введением нового термина, ранее не</w:t>
      </w:r>
      <w:r w:rsidR="005D4A81">
        <w:rPr>
          <w:rFonts w:ascii="Times New Roman" w:hAnsi="Times New Roman"/>
          <w:sz w:val="25"/>
          <w:szCs w:val="25"/>
        </w:rPr>
        <w:t xml:space="preserve"> </w:t>
      </w:r>
      <w:r w:rsidR="005D4A81" w:rsidRPr="005D4A81">
        <w:rPr>
          <w:rFonts w:ascii="Times New Roman" w:hAnsi="Times New Roman"/>
          <w:sz w:val="25"/>
          <w:szCs w:val="25"/>
        </w:rPr>
        <w:t xml:space="preserve">применявшегося на практике (в том числе, мировой) </w:t>
      </w:r>
      <w:r>
        <w:rPr>
          <w:rFonts w:ascii="Times New Roman" w:hAnsi="Times New Roman"/>
          <w:sz w:val="25"/>
          <w:szCs w:val="25"/>
        </w:rPr>
        <w:t>есть вероятность, что могут возникнуть</w:t>
      </w:r>
      <w:r w:rsidR="005D4A81" w:rsidRPr="005D4A81">
        <w:rPr>
          <w:rFonts w:ascii="Times New Roman" w:hAnsi="Times New Roman"/>
          <w:sz w:val="25"/>
          <w:szCs w:val="25"/>
        </w:rPr>
        <w:t xml:space="preserve"> сложности с уплатой</w:t>
      </w:r>
      <w:r w:rsidR="005D4A81">
        <w:rPr>
          <w:rFonts w:ascii="Times New Roman" w:hAnsi="Times New Roman"/>
          <w:sz w:val="25"/>
          <w:szCs w:val="25"/>
        </w:rPr>
        <w:t xml:space="preserve"> </w:t>
      </w:r>
      <w:r w:rsidR="005D4A81" w:rsidRPr="005D4A81">
        <w:rPr>
          <w:rFonts w:ascii="Times New Roman" w:hAnsi="Times New Roman"/>
          <w:sz w:val="25"/>
          <w:szCs w:val="25"/>
        </w:rPr>
        <w:t>налогов (включая приобретённые за границей криптовалюты и проведённые в иных</w:t>
      </w:r>
      <w:r w:rsidR="005D4A81">
        <w:rPr>
          <w:rFonts w:ascii="Times New Roman" w:hAnsi="Times New Roman"/>
          <w:sz w:val="25"/>
          <w:szCs w:val="25"/>
        </w:rPr>
        <w:t xml:space="preserve"> </w:t>
      </w:r>
      <w:r w:rsidR="005D4A81" w:rsidRPr="005D4A81">
        <w:rPr>
          <w:rFonts w:ascii="Times New Roman" w:hAnsi="Times New Roman"/>
          <w:sz w:val="25"/>
          <w:szCs w:val="25"/>
        </w:rPr>
        <w:t>странах операции с ними).</w:t>
      </w:r>
      <w:r>
        <w:rPr>
          <w:rFonts w:ascii="Times New Roman" w:hAnsi="Times New Roman"/>
          <w:sz w:val="25"/>
          <w:szCs w:val="25"/>
        </w:rPr>
        <w:t xml:space="preserve"> </w:t>
      </w:r>
      <w:r w:rsidR="005D4A81" w:rsidRPr="005D4A81">
        <w:rPr>
          <w:rFonts w:ascii="Times New Roman" w:hAnsi="Times New Roman"/>
          <w:sz w:val="25"/>
          <w:szCs w:val="25"/>
        </w:rPr>
        <w:t>Так, суды и регуляторы ряда стран (Германия, Великобритания и прочие)</w:t>
      </w:r>
      <w:r w:rsidR="005D4A81">
        <w:rPr>
          <w:rFonts w:ascii="Times New Roman" w:hAnsi="Times New Roman"/>
          <w:sz w:val="25"/>
          <w:szCs w:val="25"/>
        </w:rPr>
        <w:t xml:space="preserve"> </w:t>
      </w:r>
      <w:r w:rsidR="005D4A81" w:rsidRPr="005D4A81">
        <w:rPr>
          <w:rFonts w:ascii="Times New Roman" w:hAnsi="Times New Roman"/>
          <w:sz w:val="25"/>
          <w:szCs w:val="25"/>
        </w:rPr>
        <w:t>однозначно указывают на то, что операции с такими активами не подлежат</w:t>
      </w:r>
      <w:r w:rsidR="005D4A81">
        <w:rPr>
          <w:rFonts w:ascii="Times New Roman" w:hAnsi="Times New Roman"/>
          <w:sz w:val="25"/>
          <w:szCs w:val="25"/>
        </w:rPr>
        <w:t xml:space="preserve"> </w:t>
      </w:r>
      <w:r w:rsidR="005D4A81" w:rsidRPr="005D4A81">
        <w:rPr>
          <w:rFonts w:ascii="Times New Roman" w:hAnsi="Times New Roman"/>
          <w:sz w:val="25"/>
          <w:szCs w:val="25"/>
        </w:rPr>
        <w:t>обложению НДС. Криптовалюты как средство передачи ценностей необходимо</w:t>
      </w:r>
      <w:r w:rsidR="005D4A81">
        <w:rPr>
          <w:rFonts w:ascii="Times New Roman" w:hAnsi="Times New Roman"/>
          <w:sz w:val="25"/>
          <w:szCs w:val="25"/>
        </w:rPr>
        <w:t xml:space="preserve"> </w:t>
      </w:r>
      <w:r w:rsidR="005D4A81" w:rsidRPr="005D4A81">
        <w:rPr>
          <w:rFonts w:ascii="Times New Roman" w:hAnsi="Times New Roman"/>
          <w:sz w:val="25"/>
          <w:szCs w:val="25"/>
        </w:rPr>
        <w:t>отделить от «токенов». В</w:t>
      </w:r>
      <w:r>
        <w:rPr>
          <w:rFonts w:ascii="Times New Roman" w:hAnsi="Times New Roman"/>
          <w:sz w:val="25"/>
          <w:szCs w:val="25"/>
        </w:rPr>
        <w:t xml:space="preserve"> контексте рассматриваемых законопроектов</w:t>
      </w:r>
      <w:r w:rsidR="005D4A81" w:rsidRPr="005D4A81">
        <w:rPr>
          <w:rFonts w:ascii="Times New Roman" w:hAnsi="Times New Roman"/>
          <w:sz w:val="25"/>
          <w:szCs w:val="25"/>
        </w:rPr>
        <w:t xml:space="preserve"> понятия эти необходимы.</w:t>
      </w:r>
      <w:r w:rsidR="005D4A81">
        <w:rPr>
          <w:rFonts w:ascii="Times New Roman" w:hAnsi="Times New Roman"/>
          <w:sz w:val="25"/>
          <w:szCs w:val="25"/>
        </w:rPr>
        <w:t xml:space="preserve"> </w:t>
      </w:r>
      <w:r w:rsidR="005D4A81" w:rsidRPr="005D4A81">
        <w:rPr>
          <w:rFonts w:ascii="Times New Roman" w:hAnsi="Times New Roman"/>
          <w:sz w:val="25"/>
          <w:szCs w:val="25"/>
        </w:rPr>
        <w:t>Также разграничение ЦФА по функционалу имеет значение и для лицензирования,</w:t>
      </w:r>
      <w:r w:rsidR="005D4A81">
        <w:rPr>
          <w:rFonts w:ascii="Times New Roman" w:hAnsi="Times New Roman"/>
          <w:sz w:val="25"/>
          <w:szCs w:val="25"/>
        </w:rPr>
        <w:t xml:space="preserve"> </w:t>
      </w:r>
      <w:r w:rsidR="005D4A81" w:rsidRPr="005D4A81">
        <w:rPr>
          <w:rFonts w:ascii="Times New Roman" w:hAnsi="Times New Roman"/>
          <w:sz w:val="25"/>
          <w:szCs w:val="25"/>
        </w:rPr>
        <w:t>применения законодательства</w:t>
      </w:r>
      <w:r>
        <w:rPr>
          <w:rFonts w:ascii="Times New Roman" w:hAnsi="Times New Roman"/>
          <w:sz w:val="25"/>
          <w:szCs w:val="25"/>
        </w:rPr>
        <w:t xml:space="preserve"> о финансовых рынках или банках</w:t>
      </w:r>
      <w:r w:rsidR="005D4A81" w:rsidRPr="005D4A81">
        <w:rPr>
          <w:rFonts w:ascii="Times New Roman" w:hAnsi="Times New Roman"/>
          <w:sz w:val="25"/>
          <w:szCs w:val="25"/>
        </w:rPr>
        <w:t>.</w:t>
      </w:r>
    </w:p>
    <w:p w14:paraId="5D8C2B1A" w14:textId="288FFDEB" w:rsidR="00246741" w:rsidRDefault="00246741" w:rsidP="00A234C9">
      <w:pPr>
        <w:spacing w:before="80" w:after="80"/>
        <w:ind w:firstLine="567"/>
        <w:jc w:val="both"/>
        <w:rPr>
          <w:rFonts w:ascii="Times New Roman" w:hAnsi="Times New Roman"/>
          <w:sz w:val="25"/>
          <w:szCs w:val="25"/>
        </w:rPr>
      </w:pPr>
      <w:r w:rsidRPr="00246741">
        <w:rPr>
          <w:rFonts w:ascii="Times New Roman" w:hAnsi="Times New Roman"/>
          <w:sz w:val="25"/>
          <w:szCs w:val="25"/>
        </w:rPr>
        <w:t xml:space="preserve">Кроме того, законопроекты не определяют возможность и условия оборота между российскими резидентами цифровых активов, созданных в других юрисдикциях и легальных в таких юрисдикциях. Это приводит к ситуации значительной правовой неопределенности, при которой российское гражданское право явным образом не регулирует и в тоже время не содержит норму, изымающую из оборота целый класс активов, которые вполне признаются во многих странах и служат объектом имущественных отношений и трансграничной торговли. Это существенным образом дискриминирует лиц, находящихся под российской юрисдикцией, так как ограничивает </w:t>
      </w:r>
      <w:r w:rsidRPr="00246741">
        <w:rPr>
          <w:rFonts w:ascii="Times New Roman" w:hAnsi="Times New Roman"/>
          <w:sz w:val="25"/>
          <w:szCs w:val="25"/>
        </w:rPr>
        <w:lastRenderedPageBreak/>
        <w:t>их право на судебную защиту, а также вредит репутации российской юрисдикции в глазах иностранных инвесторов. Необходимо предусмотреть норму, которая бы легализовала тем или иным образом актив</w:t>
      </w:r>
      <w:r w:rsidR="00007CAE">
        <w:rPr>
          <w:rFonts w:ascii="Times New Roman" w:hAnsi="Times New Roman"/>
          <w:sz w:val="25"/>
          <w:szCs w:val="25"/>
        </w:rPr>
        <w:t>ы</w:t>
      </w:r>
      <w:r w:rsidRPr="00246741">
        <w:rPr>
          <w:rFonts w:ascii="Times New Roman" w:hAnsi="Times New Roman"/>
          <w:sz w:val="25"/>
          <w:szCs w:val="25"/>
        </w:rPr>
        <w:t>, аналогичны</w:t>
      </w:r>
      <w:r w:rsidR="00007CAE">
        <w:rPr>
          <w:rFonts w:ascii="Times New Roman" w:hAnsi="Times New Roman"/>
          <w:sz w:val="25"/>
          <w:szCs w:val="25"/>
        </w:rPr>
        <w:t>е</w:t>
      </w:r>
      <w:r w:rsidRPr="00246741">
        <w:rPr>
          <w:rFonts w:ascii="Times New Roman" w:hAnsi="Times New Roman"/>
          <w:sz w:val="25"/>
          <w:szCs w:val="25"/>
        </w:rPr>
        <w:t xml:space="preserve"> цифровым финансовым активам, выпущенным за</w:t>
      </w:r>
      <w:r w:rsidR="002F6290">
        <w:rPr>
          <w:rFonts w:ascii="Times New Roman" w:hAnsi="Times New Roman"/>
          <w:sz w:val="25"/>
          <w:szCs w:val="25"/>
        </w:rPr>
        <w:t xml:space="preserve"> </w:t>
      </w:r>
      <w:r w:rsidRPr="00246741">
        <w:rPr>
          <w:rFonts w:ascii="Times New Roman" w:hAnsi="Times New Roman"/>
          <w:sz w:val="25"/>
          <w:szCs w:val="25"/>
        </w:rPr>
        <w:t xml:space="preserve">рубежом. </w:t>
      </w:r>
    </w:p>
    <w:p w14:paraId="6E34EE9D" w14:textId="5EAA6D9B" w:rsidR="00A97736" w:rsidRPr="00A97736" w:rsidRDefault="0092495C" w:rsidP="00C62A87">
      <w:pPr>
        <w:spacing w:before="80" w:after="80"/>
        <w:ind w:firstLine="567"/>
        <w:jc w:val="both"/>
        <w:rPr>
          <w:rFonts w:ascii="Times New Roman" w:hAnsi="Times New Roman"/>
          <w:sz w:val="25"/>
          <w:szCs w:val="25"/>
        </w:rPr>
      </w:pPr>
      <w:r w:rsidRPr="0092495C">
        <w:rPr>
          <w:rFonts w:ascii="Times New Roman" w:hAnsi="Times New Roman"/>
          <w:sz w:val="25"/>
          <w:szCs w:val="25"/>
        </w:rPr>
        <w:t>2</w:t>
      </w:r>
      <w:r>
        <w:rPr>
          <w:rFonts w:ascii="Times New Roman" w:hAnsi="Times New Roman"/>
          <w:sz w:val="25"/>
          <w:szCs w:val="25"/>
        </w:rPr>
        <w:t>.</w:t>
      </w:r>
      <w:r w:rsidR="000859C4">
        <w:rPr>
          <w:rFonts w:ascii="Times New Roman" w:hAnsi="Times New Roman"/>
          <w:sz w:val="25"/>
          <w:szCs w:val="25"/>
        </w:rPr>
        <w:t xml:space="preserve"> </w:t>
      </w:r>
      <w:r w:rsidR="00A97736" w:rsidRPr="00A97736">
        <w:rPr>
          <w:rFonts w:ascii="Times New Roman" w:hAnsi="Times New Roman"/>
          <w:sz w:val="25"/>
          <w:szCs w:val="25"/>
        </w:rPr>
        <w:t xml:space="preserve">Согласно </w:t>
      </w:r>
      <w:r w:rsidR="00C62A87">
        <w:rPr>
          <w:rFonts w:ascii="Times New Roman" w:hAnsi="Times New Roman"/>
          <w:sz w:val="25"/>
          <w:szCs w:val="25"/>
        </w:rPr>
        <w:t>проекту закона</w:t>
      </w:r>
      <w:r w:rsidR="00A97736" w:rsidRPr="00A97736">
        <w:rPr>
          <w:rFonts w:ascii="Times New Roman" w:hAnsi="Times New Roman"/>
          <w:sz w:val="25"/>
          <w:szCs w:val="25"/>
        </w:rPr>
        <w:t xml:space="preserve"> о краудфандинге </w:t>
      </w:r>
      <w:r w:rsidR="00D612FA" w:rsidRPr="00A97736">
        <w:rPr>
          <w:rFonts w:ascii="Times New Roman" w:hAnsi="Times New Roman"/>
          <w:sz w:val="25"/>
          <w:szCs w:val="25"/>
        </w:rPr>
        <w:t>инвестиции</w:t>
      </w:r>
      <w:r w:rsidR="00A97736" w:rsidRPr="00A97736">
        <w:rPr>
          <w:rFonts w:ascii="Times New Roman" w:hAnsi="Times New Roman"/>
          <w:sz w:val="25"/>
          <w:szCs w:val="25"/>
        </w:rPr>
        <w:t xml:space="preserve"> в цифровые права делятся на инвестиции в </w:t>
      </w:r>
      <w:r w:rsidR="000859C4">
        <w:rPr>
          <w:rFonts w:ascii="Times New Roman" w:hAnsi="Times New Roman"/>
          <w:sz w:val="25"/>
          <w:szCs w:val="25"/>
        </w:rPr>
        <w:t>ЦФА</w:t>
      </w:r>
      <w:r w:rsidR="00A97736" w:rsidRPr="00A97736">
        <w:rPr>
          <w:rFonts w:ascii="Times New Roman" w:hAnsi="Times New Roman"/>
          <w:sz w:val="25"/>
          <w:szCs w:val="25"/>
        </w:rPr>
        <w:t xml:space="preserve"> и инвестиции в цифровые права утилитарного назначения. При этом регулирование инвестиций в цифровые финансовые активы и само понятие «цифровой финансовый актив» отсылает к проекту закона о </w:t>
      </w:r>
      <w:r w:rsidR="000859C4">
        <w:rPr>
          <w:rFonts w:ascii="Times New Roman" w:hAnsi="Times New Roman"/>
          <w:sz w:val="25"/>
          <w:szCs w:val="25"/>
        </w:rPr>
        <w:t>ЦФА</w:t>
      </w:r>
      <w:r w:rsidR="00A97736" w:rsidRPr="00A97736">
        <w:rPr>
          <w:rFonts w:ascii="Times New Roman" w:hAnsi="Times New Roman"/>
          <w:sz w:val="25"/>
          <w:szCs w:val="25"/>
        </w:rPr>
        <w:t>.</w:t>
      </w:r>
    </w:p>
    <w:p w14:paraId="2F56BB8D" w14:textId="787A1A52" w:rsidR="000B6012" w:rsidRPr="00A97736" w:rsidRDefault="000B6012" w:rsidP="00C62A87">
      <w:pPr>
        <w:spacing w:before="80" w:after="80"/>
        <w:ind w:firstLine="567"/>
        <w:jc w:val="both"/>
        <w:rPr>
          <w:rFonts w:ascii="Times New Roman" w:hAnsi="Times New Roman"/>
          <w:sz w:val="25"/>
          <w:szCs w:val="25"/>
        </w:rPr>
      </w:pPr>
      <w:r w:rsidRPr="000B6012">
        <w:rPr>
          <w:rFonts w:ascii="Times New Roman" w:hAnsi="Times New Roman"/>
          <w:sz w:val="25"/>
          <w:szCs w:val="25"/>
        </w:rPr>
        <w:t xml:space="preserve">Однако ни проект закона о ЦФА, ни Гражданский кодекс не содержат четкого правила, позволяющего отграничить «цифровые финансовые права» от «цифровых прав утилитарного назначения». Следует подчеркнуть, что ст. 1 </w:t>
      </w:r>
      <w:r w:rsidR="001D772E">
        <w:rPr>
          <w:rFonts w:ascii="Times New Roman" w:hAnsi="Times New Roman"/>
          <w:sz w:val="25"/>
          <w:szCs w:val="25"/>
        </w:rPr>
        <w:t>п</w:t>
      </w:r>
      <w:r w:rsidRPr="000B6012">
        <w:rPr>
          <w:rFonts w:ascii="Times New Roman" w:hAnsi="Times New Roman"/>
          <w:sz w:val="25"/>
          <w:szCs w:val="25"/>
        </w:rPr>
        <w:t xml:space="preserve">роекта </w:t>
      </w:r>
      <w:r w:rsidR="001D772E">
        <w:rPr>
          <w:rFonts w:ascii="Times New Roman" w:hAnsi="Times New Roman"/>
          <w:sz w:val="25"/>
          <w:szCs w:val="25"/>
        </w:rPr>
        <w:t>з</w:t>
      </w:r>
      <w:r w:rsidRPr="000B6012">
        <w:rPr>
          <w:rFonts w:ascii="Times New Roman" w:hAnsi="Times New Roman"/>
          <w:sz w:val="25"/>
          <w:szCs w:val="25"/>
        </w:rPr>
        <w:t xml:space="preserve">акона </w:t>
      </w:r>
      <w:r w:rsidR="001D772E">
        <w:rPr>
          <w:rFonts w:ascii="Times New Roman" w:hAnsi="Times New Roman"/>
          <w:sz w:val="25"/>
          <w:szCs w:val="25"/>
        </w:rPr>
        <w:t>о</w:t>
      </w:r>
      <w:r w:rsidRPr="000B6012">
        <w:rPr>
          <w:rFonts w:ascii="Times New Roman" w:hAnsi="Times New Roman"/>
          <w:sz w:val="25"/>
          <w:szCs w:val="25"/>
        </w:rPr>
        <w:t xml:space="preserve"> ЦФА определяет ЦФА как «цифровые, права включающие обязательственные </w:t>
      </w:r>
      <w:r w:rsidRPr="000B6012">
        <w:rPr>
          <w:rFonts w:ascii="Times New Roman" w:hAnsi="Times New Roman"/>
          <w:b/>
          <w:bCs/>
          <w:sz w:val="25"/>
          <w:szCs w:val="25"/>
        </w:rPr>
        <w:t>и иные права, в том числе…</w:t>
      </w:r>
      <w:r w:rsidRPr="000B6012">
        <w:rPr>
          <w:rFonts w:ascii="Times New Roman" w:hAnsi="Times New Roman"/>
          <w:sz w:val="25"/>
          <w:szCs w:val="25"/>
        </w:rPr>
        <w:t xml:space="preserve">». Таким образом с позиции проекта Закона о ЦФА отсутствует разграничение по виду удостоверяемых прав между цифровыми финансовыми активами и цифровых прав утилитарного назначения. Исходя из приведенной формулировки, последние могут оказаться видом цифровых финансовых прав. По мнению Комиссии, разграничение «цифровых финансовых прав» от «цифровых прав утилитарного назначения» проведено недостаточно четко, что также создает существенную правовую неопределенность поскольку правовой режим в рамках проекта </w:t>
      </w:r>
      <w:r w:rsidR="00761137">
        <w:rPr>
          <w:rFonts w:ascii="Times New Roman" w:hAnsi="Times New Roman"/>
          <w:sz w:val="25"/>
          <w:szCs w:val="25"/>
        </w:rPr>
        <w:t>з</w:t>
      </w:r>
      <w:r w:rsidRPr="000B6012">
        <w:rPr>
          <w:rFonts w:ascii="Times New Roman" w:hAnsi="Times New Roman"/>
          <w:sz w:val="25"/>
          <w:szCs w:val="25"/>
        </w:rPr>
        <w:t>акона О ЦФА и законопроекта о краудфандинге существенно отличается. Следует также заместить, что те объекты, которые отнесены законопроектом о краудфандинге к «цифровым права утилитарного назначения» вполне могут выступать объектами финансовых инвестиций, это легко понять на примере вполне возможной «токенизации» какого-либо биржевого коммодити, например золота, платины, иных природных ресурсов.</w:t>
      </w:r>
    </w:p>
    <w:p w14:paraId="5F80CBF6" w14:textId="4770D147" w:rsidR="00321BBC" w:rsidRPr="00321BBC" w:rsidRDefault="0092495C" w:rsidP="00C62A87">
      <w:pPr>
        <w:spacing w:before="80" w:after="80"/>
        <w:ind w:firstLine="567"/>
        <w:jc w:val="both"/>
        <w:rPr>
          <w:rFonts w:ascii="Times New Roman" w:hAnsi="Times New Roman"/>
          <w:sz w:val="25"/>
          <w:szCs w:val="25"/>
        </w:rPr>
      </w:pPr>
      <w:r>
        <w:rPr>
          <w:rFonts w:ascii="Times New Roman" w:hAnsi="Times New Roman"/>
          <w:sz w:val="25"/>
          <w:szCs w:val="25"/>
        </w:rPr>
        <w:t>3</w:t>
      </w:r>
      <w:r w:rsidR="00C62A87">
        <w:rPr>
          <w:rFonts w:ascii="Times New Roman" w:hAnsi="Times New Roman"/>
          <w:sz w:val="25"/>
          <w:szCs w:val="25"/>
        </w:rPr>
        <w:t xml:space="preserve">. </w:t>
      </w:r>
      <w:r w:rsidR="00403B6D">
        <w:rPr>
          <w:rFonts w:ascii="Times New Roman" w:hAnsi="Times New Roman"/>
          <w:sz w:val="25"/>
          <w:szCs w:val="25"/>
        </w:rPr>
        <w:t>Отсутствует е</w:t>
      </w:r>
      <w:r w:rsidR="00321BBC" w:rsidRPr="00321BBC">
        <w:rPr>
          <w:rFonts w:ascii="Times New Roman" w:hAnsi="Times New Roman"/>
          <w:sz w:val="25"/>
          <w:szCs w:val="25"/>
        </w:rPr>
        <w:t>динообразие</w:t>
      </w:r>
      <w:r w:rsidR="00B519F6">
        <w:rPr>
          <w:rFonts w:ascii="Times New Roman" w:hAnsi="Times New Roman"/>
          <w:sz w:val="25"/>
          <w:szCs w:val="25"/>
        </w:rPr>
        <w:t xml:space="preserve"> в терминах</w:t>
      </w:r>
      <w:r w:rsidR="00321BBC" w:rsidRPr="00321BBC">
        <w:rPr>
          <w:rFonts w:ascii="Times New Roman" w:hAnsi="Times New Roman"/>
          <w:sz w:val="25"/>
          <w:szCs w:val="25"/>
        </w:rPr>
        <w:t xml:space="preserve"> в отношении как находящихся в разработке двух законов и поправок</w:t>
      </w:r>
      <w:r w:rsidR="00403B6D">
        <w:rPr>
          <w:rFonts w:ascii="Times New Roman" w:hAnsi="Times New Roman"/>
          <w:sz w:val="25"/>
          <w:szCs w:val="25"/>
        </w:rPr>
        <w:t xml:space="preserve"> «О цифровых правах»</w:t>
      </w:r>
      <w:r w:rsidR="00321BBC" w:rsidRPr="00321BBC">
        <w:rPr>
          <w:rFonts w:ascii="Times New Roman" w:hAnsi="Times New Roman"/>
          <w:sz w:val="25"/>
          <w:szCs w:val="25"/>
        </w:rPr>
        <w:t xml:space="preserve"> к ГК РФ, а также</w:t>
      </w:r>
      <w:r w:rsidR="00403B6D">
        <w:rPr>
          <w:rFonts w:ascii="Times New Roman" w:hAnsi="Times New Roman"/>
          <w:sz w:val="25"/>
          <w:szCs w:val="25"/>
        </w:rPr>
        <w:t xml:space="preserve"> проекта Федерального закона</w:t>
      </w:r>
      <w:r w:rsidR="00321BBC" w:rsidRPr="00321BBC">
        <w:rPr>
          <w:rFonts w:ascii="Times New Roman" w:hAnsi="Times New Roman"/>
          <w:sz w:val="25"/>
          <w:szCs w:val="25"/>
        </w:rPr>
        <w:t xml:space="preserve"> </w:t>
      </w:r>
      <w:r w:rsidR="00403B6D">
        <w:rPr>
          <w:rFonts w:ascii="Times New Roman" w:hAnsi="Times New Roman"/>
          <w:sz w:val="25"/>
          <w:szCs w:val="25"/>
        </w:rPr>
        <w:t>«</w:t>
      </w:r>
      <w:hyperlink r:id="rId14" w:history="1">
        <w:r w:rsidR="00403B6D" w:rsidRPr="00403B6D">
          <w:rPr>
            <w:rFonts w:ascii="Times New Roman" w:hAnsi="Times New Roman"/>
            <w:sz w:val="25"/>
            <w:szCs w:val="25"/>
          </w:rPr>
          <w:t>Об экспериментальных правовых режимах в сфере цифровых инноваций в Российской Федерации</w:t>
        </w:r>
      </w:hyperlink>
      <w:r w:rsidR="00403B6D" w:rsidRPr="001E5EF1">
        <w:rPr>
          <w:rFonts w:ascii="Times New Roman" w:hAnsi="Times New Roman"/>
          <w:sz w:val="25"/>
          <w:szCs w:val="25"/>
        </w:rPr>
        <w:t>»</w:t>
      </w:r>
      <w:r w:rsidR="00403B6D" w:rsidRPr="00321BBC">
        <w:rPr>
          <w:rFonts w:ascii="Times New Roman" w:hAnsi="Times New Roman"/>
          <w:sz w:val="25"/>
          <w:szCs w:val="25"/>
        </w:rPr>
        <w:t xml:space="preserve"> </w:t>
      </w:r>
      <w:r w:rsidR="00321BBC" w:rsidRPr="00321BBC">
        <w:rPr>
          <w:rFonts w:ascii="Times New Roman" w:hAnsi="Times New Roman"/>
          <w:sz w:val="25"/>
          <w:szCs w:val="25"/>
        </w:rPr>
        <w:t>(</w:t>
      </w:r>
      <w:r w:rsidR="002F53A8">
        <w:rPr>
          <w:rFonts w:ascii="Times New Roman" w:hAnsi="Times New Roman"/>
          <w:sz w:val="25"/>
          <w:szCs w:val="25"/>
        </w:rPr>
        <w:t xml:space="preserve">далее - </w:t>
      </w:r>
      <w:r w:rsidR="00321BBC" w:rsidRPr="00321BBC">
        <w:rPr>
          <w:rFonts w:ascii="Times New Roman" w:hAnsi="Times New Roman"/>
          <w:sz w:val="25"/>
          <w:szCs w:val="25"/>
        </w:rPr>
        <w:t>«</w:t>
      </w:r>
      <w:r w:rsidR="00321BBC" w:rsidRPr="001E5EF1">
        <w:rPr>
          <w:rFonts w:ascii="Times New Roman" w:hAnsi="Times New Roman"/>
          <w:sz w:val="25"/>
          <w:szCs w:val="25"/>
        </w:rPr>
        <w:t>ЭПР</w:t>
      </w:r>
      <w:r w:rsidR="00321BBC" w:rsidRPr="00321BBC">
        <w:rPr>
          <w:rFonts w:ascii="Times New Roman" w:hAnsi="Times New Roman"/>
          <w:sz w:val="25"/>
          <w:szCs w:val="25"/>
        </w:rPr>
        <w:t>»)</w:t>
      </w:r>
      <w:r w:rsidR="00403B6D">
        <w:rPr>
          <w:rFonts w:ascii="Times New Roman" w:hAnsi="Times New Roman"/>
          <w:sz w:val="25"/>
          <w:szCs w:val="25"/>
        </w:rPr>
        <w:t>.</w:t>
      </w:r>
      <w:r w:rsidR="00321BBC" w:rsidRPr="00321BBC">
        <w:rPr>
          <w:rFonts w:ascii="Times New Roman" w:hAnsi="Times New Roman"/>
          <w:sz w:val="25"/>
          <w:szCs w:val="25"/>
        </w:rPr>
        <w:t xml:space="preserve"> </w:t>
      </w:r>
      <w:r w:rsidR="00403B6D">
        <w:rPr>
          <w:rFonts w:ascii="Times New Roman" w:hAnsi="Times New Roman"/>
          <w:sz w:val="25"/>
          <w:szCs w:val="25"/>
        </w:rPr>
        <w:t>Д</w:t>
      </w:r>
      <w:r w:rsidR="00321BBC" w:rsidRPr="00321BBC">
        <w:rPr>
          <w:rFonts w:ascii="Times New Roman" w:hAnsi="Times New Roman"/>
          <w:sz w:val="25"/>
          <w:szCs w:val="25"/>
        </w:rPr>
        <w:t xml:space="preserve">ля беспрепятственного их применения в совокупности, </w:t>
      </w:r>
      <w:r w:rsidRPr="00321BBC">
        <w:rPr>
          <w:rFonts w:ascii="Times New Roman" w:hAnsi="Times New Roman"/>
          <w:sz w:val="25"/>
          <w:szCs w:val="25"/>
        </w:rPr>
        <w:t>иных норм,</w:t>
      </w:r>
      <w:r w:rsidR="00321BBC" w:rsidRPr="00321BBC">
        <w:rPr>
          <w:rFonts w:ascii="Times New Roman" w:hAnsi="Times New Roman"/>
          <w:sz w:val="25"/>
          <w:szCs w:val="25"/>
        </w:rPr>
        <w:t xml:space="preserve"> действующих «смежных» законов, отраслевых норм, законодательства о нотариате, международного права (ввиду трансграничного характера сделок) и с учетом зарубежной практики</w:t>
      </w:r>
      <w:r w:rsidR="00403B6D">
        <w:rPr>
          <w:rFonts w:ascii="Times New Roman" w:hAnsi="Times New Roman"/>
          <w:sz w:val="25"/>
          <w:szCs w:val="25"/>
        </w:rPr>
        <w:t xml:space="preserve"> следует привести их к единообразию.</w:t>
      </w:r>
    </w:p>
    <w:p w14:paraId="6D03BA74" w14:textId="7C89B353" w:rsidR="00756A10" w:rsidRPr="00C62A87" w:rsidRDefault="0092495C" w:rsidP="00C62A87">
      <w:pPr>
        <w:spacing w:before="80" w:after="80"/>
        <w:ind w:firstLine="567"/>
        <w:jc w:val="both"/>
        <w:rPr>
          <w:rFonts w:ascii="Times New Roman" w:hAnsi="Times New Roman"/>
          <w:sz w:val="25"/>
          <w:szCs w:val="25"/>
        </w:rPr>
      </w:pPr>
      <w:r>
        <w:rPr>
          <w:rFonts w:ascii="Times New Roman" w:hAnsi="Times New Roman"/>
          <w:sz w:val="25"/>
          <w:szCs w:val="25"/>
        </w:rPr>
        <w:t>4</w:t>
      </w:r>
      <w:r w:rsidR="00C62A87">
        <w:rPr>
          <w:rFonts w:ascii="Times New Roman" w:hAnsi="Times New Roman"/>
          <w:sz w:val="25"/>
          <w:szCs w:val="25"/>
        </w:rPr>
        <w:t xml:space="preserve">. </w:t>
      </w:r>
      <w:r w:rsidR="004F13C2">
        <w:rPr>
          <w:rFonts w:ascii="Times New Roman" w:hAnsi="Times New Roman"/>
          <w:sz w:val="25"/>
          <w:szCs w:val="25"/>
        </w:rPr>
        <w:t>П</w:t>
      </w:r>
      <w:r w:rsidR="00756A10" w:rsidRPr="00C62A87">
        <w:rPr>
          <w:rFonts w:ascii="Times New Roman" w:hAnsi="Times New Roman"/>
          <w:sz w:val="25"/>
          <w:szCs w:val="25"/>
        </w:rPr>
        <w:t>редлагаем</w:t>
      </w:r>
      <w:r w:rsidR="004F13C2">
        <w:rPr>
          <w:rFonts w:ascii="Times New Roman" w:hAnsi="Times New Roman"/>
          <w:sz w:val="25"/>
          <w:szCs w:val="25"/>
        </w:rPr>
        <w:t>ый</w:t>
      </w:r>
      <w:r w:rsidR="00756A10" w:rsidRPr="00C62A87">
        <w:rPr>
          <w:rFonts w:ascii="Times New Roman" w:hAnsi="Times New Roman"/>
          <w:sz w:val="25"/>
          <w:szCs w:val="25"/>
        </w:rPr>
        <w:t xml:space="preserve"> </w:t>
      </w:r>
      <w:r w:rsidR="00E549FA" w:rsidRPr="00E549FA">
        <w:rPr>
          <w:rFonts w:ascii="Times New Roman" w:hAnsi="Times New Roman"/>
          <w:sz w:val="25"/>
          <w:szCs w:val="25"/>
        </w:rPr>
        <w:t>проект</w:t>
      </w:r>
      <w:r w:rsidR="00E549FA">
        <w:rPr>
          <w:rFonts w:ascii="Times New Roman" w:hAnsi="Times New Roman"/>
          <w:sz w:val="25"/>
          <w:szCs w:val="25"/>
        </w:rPr>
        <w:t xml:space="preserve"> </w:t>
      </w:r>
      <w:r w:rsidR="00E549FA" w:rsidRPr="00E549FA">
        <w:rPr>
          <w:rFonts w:ascii="Times New Roman" w:hAnsi="Times New Roman"/>
          <w:sz w:val="25"/>
          <w:szCs w:val="25"/>
        </w:rPr>
        <w:t>закона о краудфандинге</w:t>
      </w:r>
      <w:r w:rsidR="00E549FA" w:rsidRPr="00E549FA" w:rsidDel="00E549FA">
        <w:rPr>
          <w:rFonts w:ascii="Times New Roman" w:hAnsi="Times New Roman"/>
          <w:sz w:val="25"/>
          <w:szCs w:val="25"/>
        </w:rPr>
        <w:t xml:space="preserve"> </w:t>
      </w:r>
      <w:r w:rsidR="004F13C2">
        <w:rPr>
          <w:rFonts w:ascii="Times New Roman" w:hAnsi="Times New Roman"/>
          <w:sz w:val="25"/>
          <w:szCs w:val="25"/>
        </w:rPr>
        <w:t>не содержит</w:t>
      </w:r>
      <w:r w:rsidR="004F13C2" w:rsidRPr="00C62A87">
        <w:rPr>
          <w:rFonts w:ascii="Times New Roman" w:hAnsi="Times New Roman"/>
          <w:sz w:val="25"/>
          <w:szCs w:val="25"/>
        </w:rPr>
        <w:t xml:space="preserve"> </w:t>
      </w:r>
      <w:r w:rsidR="00756A10" w:rsidRPr="00C62A87">
        <w:rPr>
          <w:rFonts w:ascii="Times New Roman" w:hAnsi="Times New Roman"/>
          <w:sz w:val="25"/>
          <w:szCs w:val="25"/>
        </w:rPr>
        <w:t>понятийн</w:t>
      </w:r>
      <w:r w:rsidR="004F13C2">
        <w:rPr>
          <w:rFonts w:ascii="Times New Roman" w:hAnsi="Times New Roman"/>
          <w:sz w:val="25"/>
          <w:szCs w:val="25"/>
        </w:rPr>
        <w:t>ого</w:t>
      </w:r>
      <w:r w:rsidR="00756A10" w:rsidRPr="00C62A87">
        <w:rPr>
          <w:rFonts w:ascii="Times New Roman" w:hAnsi="Times New Roman"/>
          <w:sz w:val="25"/>
          <w:szCs w:val="25"/>
        </w:rPr>
        <w:t xml:space="preserve"> аппарат</w:t>
      </w:r>
      <w:r w:rsidR="004F13C2">
        <w:rPr>
          <w:rFonts w:ascii="Times New Roman" w:hAnsi="Times New Roman"/>
          <w:sz w:val="25"/>
          <w:szCs w:val="25"/>
        </w:rPr>
        <w:t>а</w:t>
      </w:r>
      <w:r w:rsidR="00756A10" w:rsidRPr="00C62A87">
        <w:rPr>
          <w:rFonts w:ascii="Times New Roman" w:hAnsi="Times New Roman"/>
          <w:sz w:val="25"/>
          <w:szCs w:val="25"/>
        </w:rPr>
        <w:t xml:space="preserve"> в отношении инвестиционной деятельности с использованием инвестиционных платформ, в частности, </w:t>
      </w:r>
      <w:r w:rsidR="004F13C2">
        <w:rPr>
          <w:rFonts w:ascii="Times New Roman" w:hAnsi="Times New Roman"/>
          <w:sz w:val="25"/>
          <w:szCs w:val="25"/>
        </w:rPr>
        <w:t xml:space="preserve">в нем </w:t>
      </w:r>
      <w:r w:rsidR="00756A10" w:rsidRPr="00C62A87">
        <w:rPr>
          <w:rFonts w:ascii="Times New Roman" w:hAnsi="Times New Roman"/>
          <w:sz w:val="25"/>
          <w:szCs w:val="25"/>
        </w:rPr>
        <w:t>отсутствуют понятия «инвестор», «инвестиции», «инвестиционный проект»</w:t>
      </w:r>
      <w:r w:rsidR="006B3064">
        <w:rPr>
          <w:rFonts w:ascii="Times New Roman" w:hAnsi="Times New Roman"/>
          <w:sz w:val="25"/>
          <w:szCs w:val="25"/>
        </w:rPr>
        <w:t>, что мож</w:t>
      </w:r>
      <w:r w:rsidR="00A55A25">
        <w:rPr>
          <w:rFonts w:ascii="Times New Roman" w:hAnsi="Times New Roman"/>
          <w:sz w:val="25"/>
          <w:szCs w:val="25"/>
        </w:rPr>
        <w:t>е</w:t>
      </w:r>
      <w:r w:rsidR="006B3064">
        <w:rPr>
          <w:rFonts w:ascii="Times New Roman" w:hAnsi="Times New Roman"/>
          <w:sz w:val="25"/>
          <w:szCs w:val="25"/>
        </w:rPr>
        <w:t>т создать правовую неопред</w:t>
      </w:r>
      <w:r w:rsidR="00B53419">
        <w:rPr>
          <w:rFonts w:ascii="Times New Roman" w:hAnsi="Times New Roman"/>
          <w:sz w:val="25"/>
          <w:szCs w:val="25"/>
        </w:rPr>
        <w:t>еленность в правоприменении</w:t>
      </w:r>
      <w:r w:rsidR="006E76CE">
        <w:rPr>
          <w:rFonts w:ascii="Times New Roman" w:hAnsi="Times New Roman"/>
          <w:sz w:val="25"/>
          <w:szCs w:val="25"/>
        </w:rPr>
        <w:t xml:space="preserve">, поскольку </w:t>
      </w:r>
      <w:r w:rsidR="00B53419">
        <w:rPr>
          <w:rFonts w:ascii="Times New Roman" w:hAnsi="Times New Roman"/>
          <w:sz w:val="25"/>
          <w:szCs w:val="25"/>
        </w:rPr>
        <w:t xml:space="preserve">данные термины определены </w:t>
      </w:r>
      <w:r w:rsidR="00756A10" w:rsidRPr="00C62A87">
        <w:rPr>
          <w:rFonts w:ascii="Times New Roman" w:hAnsi="Times New Roman"/>
          <w:sz w:val="25"/>
          <w:szCs w:val="25"/>
        </w:rPr>
        <w:t>в Законе РСФСР от 26.06.1991 N1488-1</w:t>
      </w:r>
      <w:r w:rsidR="00A506F7">
        <w:rPr>
          <w:rFonts w:ascii="Times New Roman" w:hAnsi="Times New Roman"/>
          <w:sz w:val="25"/>
          <w:szCs w:val="25"/>
        </w:rPr>
        <w:t xml:space="preserve"> </w:t>
      </w:r>
      <w:r w:rsidR="00A55A25">
        <w:rPr>
          <w:rFonts w:ascii="Times New Roman" w:hAnsi="Times New Roman"/>
          <w:sz w:val="25"/>
          <w:szCs w:val="25"/>
        </w:rPr>
        <w:t>«</w:t>
      </w:r>
      <w:r w:rsidR="00A55A25" w:rsidRPr="00C62A87">
        <w:rPr>
          <w:rFonts w:ascii="Times New Roman" w:hAnsi="Times New Roman"/>
          <w:sz w:val="25"/>
          <w:szCs w:val="25"/>
        </w:rPr>
        <w:t>Об инвестиционной деятельности в РСФСР</w:t>
      </w:r>
      <w:r w:rsidR="00A55A25">
        <w:rPr>
          <w:rFonts w:ascii="Times New Roman" w:hAnsi="Times New Roman"/>
          <w:sz w:val="25"/>
          <w:szCs w:val="25"/>
        </w:rPr>
        <w:t>»</w:t>
      </w:r>
      <w:r w:rsidR="00756A10" w:rsidRPr="00C62A87">
        <w:rPr>
          <w:rFonts w:ascii="Times New Roman" w:hAnsi="Times New Roman"/>
          <w:sz w:val="25"/>
          <w:szCs w:val="25"/>
        </w:rPr>
        <w:t xml:space="preserve"> и </w:t>
      </w:r>
      <w:r w:rsidR="00924C34" w:rsidRPr="00924C34">
        <w:rPr>
          <w:rFonts w:ascii="Times New Roman" w:hAnsi="Times New Roman"/>
          <w:sz w:val="25"/>
          <w:szCs w:val="25"/>
        </w:rPr>
        <w:t>39-фз</w:t>
      </w:r>
      <w:r w:rsidR="00756A10" w:rsidRPr="00924C34">
        <w:rPr>
          <w:rFonts w:ascii="Times New Roman" w:hAnsi="Times New Roman"/>
          <w:sz w:val="25"/>
          <w:szCs w:val="25"/>
        </w:rPr>
        <w:t xml:space="preserve"> «Об инвестиционной деятельности, осуществляемой в форме капитальных</w:t>
      </w:r>
      <w:r w:rsidR="00756A10" w:rsidRPr="00C62A87">
        <w:rPr>
          <w:rFonts w:ascii="Times New Roman" w:hAnsi="Times New Roman"/>
          <w:sz w:val="25"/>
          <w:szCs w:val="25"/>
        </w:rPr>
        <w:t xml:space="preserve"> вложений» (далее – «</w:t>
      </w:r>
      <w:r w:rsidR="00E549FA" w:rsidRPr="001E5EF1">
        <w:rPr>
          <w:rFonts w:ascii="Times New Roman" w:hAnsi="Times New Roman"/>
          <w:sz w:val="25"/>
          <w:szCs w:val="25"/>
        </w:rPr>
        <w:t>з</w:t>
      </w:r>
      <w:r w:rsidR="00756A10" w:rsidRPr="001E5EF1">
        <w:rPr>
          <w:rFonts w:ascii="Times New Roman" w:hAnsi="Times New Roman"/>
          <w:sz w:val="25"/>
          <w:szCs w:val="25"/>
        </w:rPr>
        <w:t>аконодательство в области инвестиционной деятельности</w:t>
      </w:r>
      <w:r w:rsidR="00756A10" w:rsidRPr="00C62A87">
        <w:rPr>
          <w:rFonts w:ascii="Times New Roman" w:hAnsi="Times New Roman"/>
          <w:sz w:val="25"/>
          <w:szCs w:val="25"/>
        </w:rPr>
        <w:t>»).</w:t>
      </w:r>
    </w:p>
    <w:p w14:paraId="12BE4A72" w14:textId="7F50AEE0" w:rsidR="00756A10" w:rsidRPr="00C62A87" w:rsidRDefault="00756A10" w:rsidP="00C62A87">
      <w:pPr>
        <w:spacing w:before="80" w:after="80"/>
        <w:ind w:firstLine="567"/>
        <w:jc w:val="both"/>
        <w:rPr>
          <w:rFonts w:ascii="Times New Roman" w:hAnsi="Times New Roman"/>
          <w:sz w:val="25"/>
          <w:szCs w:val="25"/>
        </w:rPr>
      </w:pPr>
      <w:r w:rsidRPr="00C62A87">
        <w:rPr>
          <w:rFonts w:ascii="Times New Roman" w:hAnsi="Times New Roman"/>
          <w:sz w:val="25"/>
          <w:szCs w:val="25"/>
        </w:rPr>
        <w:t xml:space="preserve">Согласно </w:t>
      </w:r>
      <w:r w:rsidR="00E549FA" w:rsidRPr="00E549FA">
        <w:rPr>
          <w:rFonts w:ascii="Times New Roman" w:hAnsi="Times New Roman"/>
          <w:sz w:val="25"/>
          <w:szCs w:val="25"/>
        </w:rPr>
        <w:t>проект</w:t>
      </w:r>
      <w:r w:rsidR="00E549FA">
        <w:rPr>
          <w:rFonts w:ascii="Times New Roman" w:hAnsi="Times New Roman"/>
          <w:sz w:val="25"/>
          <w:szCs w:val="25"/>
        </w:rPr>
        <w:t>у</w:t>
      </w:r>
      <w:r w:rsidR="00E549FA" w:rsidRPr="00E549FA">
        <w:rPr>
          <w:rFonts w:ascii="Times New Roman" w:hAnsi="Times New Roman"/>
          <w:sz w:val="25"/>
          <w:szCs w:val="25"/>
        </w:rPr>
        <w:t xml:space="preserve"> закона о краудфандинге</w:t>
      </w:r>
      <w:r w:rsidR="00E549FA" w:rsidRPr="00E549FA" w:rsidDel="00E549FA">
        <w:rPr>
          <w:rFonts w:ascii="Times New Roman" w:hAnsi="Times New Roman"/>
          <w:sz w:val="25"/>
          <w:szCs w:val="25"/>
        </w:rPr>
        <w:t xml:space="preserve"> </w:t>
      </w:r>
      <w:r w:rsidRPr="00C62A87">
        <w:rPr>
          <w:rFonts w:ascii="Times New Roman" w:hAnsi="Times New Roman"/>
          <w:sz w:val="25"/>
          <w:szCs w:val="25"/>
        </w:rPr>
        <w:t>«лицом, привлекающим инвестиции» может быть только российское юридическое лицо или индивидуальный предприниматель.</w:t>
      </w:r>
      <w:r w:rsidR="00E57323">
        <w:rPr>
          <w:rFonts w:ascii="Times New Roman" w:hAnsi="Times New Roman"/>
          <w:sz w:val="25"/>
          <w:szCs w:val="25"/>
        </w:rPr>
        <w:t xml:space="preserve"> </w:t>
      </w:r>
      <w:r w:rsidR="00C62A87" w:rsidRPr="00C62A87">
        <w:rPr>
          <w:rFonts w:ascii="Times New Roman" w:hAnsi="Times New Roman"/>
          <w:sz w:val="25"/>
          <w:szCs w:val="25"/>
        </w:rPr>
        <w:t>В то же время согласно законодательству</w:t>
      </w:r>
      <w:r w:rsidRPr="00C62A87">
        <w:rPr>
          <w:rFonts w:ascii="Times New Roman" w:hAnsi="Times New Roman"/>
          <w:sz w:val="25"/>
          <w:szCs w:val="25"/>
        </w:rPr>
        <w:t xml:space="preserve"> в области инвестиционной деятельности «заказчиком» (лицом, уполномоченным инвестором на реализацию инвестиционного проекта) может быть любое физическое или юридическое лицо, т.е. круг таких лиц не ограничен российскими юридическими лицами и индивидуальными предпринимателями.</w:t>
      </w:r>
    </w:p>
    <w:p w14:paraId="293AC4E4" w14:textId="11B4A364" w:rsidR="00756A10" w:rsidRPr="00C62A87" w:rsidRDefault="00756A10" w:rsidP="00C62A87">
      <w:pPr>
        <w:spacing w:before="80" w:after="80"/>
        <w:ind w:firstLine="567"/>
        <w:jc w:val="both"/>
        <w:rPr>
          <w:rFonts w:ascii="Times New Roman" w:hAnsi="Times New Roman"/>
          <w:sz w:val="25"/>
          <w:szCs w:val="25"/>
        </w:rPr>
      </w:pPr>
      <w:r w:rsidRPr="00C62A87">
        <w:rPr>
          <w:rFonts w:ascii="Times New Roman" w:hAnsi="Times New Roman"/>
          <w:sz w:val="25"/>
          <w:szCs w:val="25"/>
        </w:rPr>
        <w:t>Более того, в соответствии частью 2 ст. 3 39-фз «Об инвестиционной деятельности, осуществляемой в форме капитальных вложений» и ч.</w:t>
      </w:r>
      <w:r w:rsidR="00706208">
        <w:rPr>
          <w:rFonts w:ascii="Times New Roman" w:hAnsi="Times New Roman"/>
          <w:sz w:val="25"/>
          <w:szCs w:val="25"/>
        </w:rPr>
        <w:t xml:space="preserve"> </w:t>
      </w:r>
      <w:r w:rsidRPr="00C62A87">
        <w:rPr>
          <w:rFonts w:ascii="Times New Roman" w:hAnsi="Times New Roman"/>
          <w:sz w:val="25"/>
          <w:szCs w:val="25"/>
        </w:rPr>
        <w:t xml:space="preserve">1 ст. 1 Закона РСФСР от </w:t>
      </w:r>
      <w:r w:rsidRPr="00C62A87">
        <w:rPr>
          <w:rFonts w:ascii="Times New Roman" w:hAnsi="Times New Roman"/>
          <w:sz w:val="25"/>
          <w:szCs w:val="25"/>
        </w:rPr>
        <w:lastRenderedPageBreak/>
        <w:t>26.06.1991 N 1488-1 "Об инвестиционной деятельности в РСФСР" инвестиции могут осуществляться не только в целях получения прибыли, но и в целях достижения положительного социального или иного полезного эффекта.</w:t>
      </w:r>
    </w:p>
    <w:p w14:paraId="4EA031A0" w14:textId="63CE2DE3" w:rsidR="00756A10" w:rsidRPr="00C62A87" w:rsidRDefault="00756A10" w:rsidP="00C62A87">
      <w:pPr>
        <w:spacing w:before="80" w:after="80"/>
        <w:ind w:firstLine="567"/>
        <w:jc w:val="both"/>
        <w:rPr>
          <w:rFonts w:ascii="Times New Roman" w:hAnsi="Times New Roman"/>
          <w:sz w:val="25"/>
          <w:szCs w:val="25"/>
        </w:rPr>
      </w:pPr>
      <w:r w:rsidRPr="00C62A87">
        <w:rPr>
          <w:rFonts w:ascii="Times New Roman" w:hAnsi="Times New Roman"/>
          <w:sz w:val="25"/>
          <w:szCs w:val="25"/>
        </w:rPr>
        <w:t xml:space="preserve">Учитывая изложенное, представляется, что </w:t>
      </w:r>
      <w:r w:rsidR="00E549FA" w:rsidRPr="00E549FA">
        <w:rPr>
          <w:rFonts w:ascii="Times New Roman" w:hAnsi="Times New Roman"/>
          <w:sz w:val="25"/>
          <w:szCs w:val="25"/>
        </w:rPr>
        <w:t>проект закона о краудфандинге</w:t>
      </w:r>
      <w:r w:rsidRPr="00C62A87">
        <w:rPr>
          <w:rFonts w:ascii="Times New Roman" w:hAnsi="Times New Roman"/>
          <w:sz w:val="25"/>
          <w:szCs w:val="25"/>
        </w:rPr>
        <w:t xml:space="preserve"> неоправданно ограничивает физических лиц</w:t>
      </w:r>
      <w:r w:rsidR="00E549FA">
        <w:rPr>
          <w:rFonts w:ascii="Times New Roman" w:hAnsi="Times New Roman"/>
          <w:sz w:val="25"/>
          <w:szCs w:val="25"/>
        </w:rPr>
        <w:t>,</w:t>
      </w:r>
      <w:r w:rsidRPr="00C62A87">
        <w:rPr>
          <w:rFonts w:ascii="Times New Roman" w:hAnsi="Times New Roman"/>
          <w:sz w:val="25"/>
          <w:szCs w:val="25"/>
        </w:rPr>
        <w:t xml:space="preserve"> не являющихся индивидуальными предпринимателями</w:t>
      </w:r>
      <w:r w:rsidR="00E549FA">
        <w:rPr>
          <w:rFonts w:ascii="Times New Roman" w:hAnsi="Times New Roman"/>
          <w:sz w:val="25"/>
          <w:szCs w:val="25"/>
        </w:rPr>
        <w:t>,</w:t>
      </w:r>
      <w:r w:rsidRPr="00C62A87">
        <w:rPr>
          <w:rFonts w:ascii="Times New Roman" w:hAnsi="Times New Roman"/>
          <w:sz w:val="25"/>
          <w:szCs w:val="25"/>
        </w:rPr>
        <w:t xml:space="preserve"> в сборе средств в соответствии с п.</w:t>
      </w:r>
      <w:r w:rsidR="008736FC">
        <w:rPr>
          <w:rFonts w:ascii="Times New Roman" w:hAnsi="Times New Roman"/>
          <w:sz w:val="25"/>
          <w:szCs w:val="25"/>
        </w:rPr>
        <w:t xml:space="preserve"> </w:t>
      </w:r>
      <w:r w:rsidRPr="00C62A87">
        <w:rPr>
          <w:rFonts w:ascii="Times New Roman" w:hAnsi="Times New Roman"/>
          <w:sz w:val="25"/>
          <w:szCs w:val="25"/>
        </w:rPr>
        <w:t>3 ч.</w:t>
      </w:r>
      <w:r w:rsidR="008736FC">
        <w:rPr>
          <w:rFonts w:ascii="Times New Roman" w:hAnsi="Times New Roman"/>
          <w:sz w:val="25"/>
          <w:szCs w:val="25"/>
        </w:rPr>
        <w:t xml:space="preserve"> </w:t>
      </w:r>
      <w:r w:rsidRPr="00C62A87">
        <w:rPr>
          <w:rFonts w:ascii="Times New Roman" w:hAnsi="Times New Roman"/>
          <w:sz w:val="25"/>
          <w:szCs w:val="25"/>
        </w:rPr>
        <w:t>1 ст. 5.1. проекта закона с помощью краудфандинговых платформ в социальных и иных полезных целях («некоммерческие проекты»)</w:t>
      </w:r>
      <w:r w:rsidR="006F5B13">
        <w:rPr>
          <w:rFonts w:ascii="Times New Roman" w:hAnsi="Times New Roman"/>
          <w:sz w:val="25"/>
          <w:szCs w:val="25"/>
        </w:rPr>
        <w:t>. В</w:t>
      </w:r>
      <w:r w:rsidRPr="00C62A87">
        <w:rPr>
          <w:rFonts w:ascii="Times New Roman" w:hAnsi="Times New Roman"/>
          <w:sz w:val="25"/>
          <w:szCs w:val="25"/>
        </w:rPr>
        <w:t xml:space="preserve"> частности, не связан</w:t>
      </w:r>
      <w:r w:rsidR="006F5B13">
        <w:rPr>
          <w:rFonts w:ascii="Times New Roman" w:hAnsi="Times New Roman"/>
          <w:sz w:val="25"/>
          <w:szCs w:val="25"/>
        </w:rPr>
        <w:t>н</w:t>
      </w:r>
      <w:r w:rsidRPr="00C62A87">
        <w:rPr>
          <w:rFonts w:ascii="Times New Roman" w:hAnsi="Times New Roman"/>
          <w:sz w:val="25"/>
          <w:szCs w:val="25"/>
        </w:rPr>
        <w:t>ы</w:t>
      </w:r>
      <w:r w:rsidR="006F5B13">
        <w:rPr>
          <w:rFonts w:ascii="Times New Roman" w:hAnsi="Times New Roman"/>
          <w:sz w:val="25"/>
          <w:szCs w:val="25"/>
        </w:rPr>
        <w:t>х</w:t>
      </w:r>
      <w:r w:rsidRPr="00C62A87">
        <w:rPr>
          <w:rFonts w:ascii="Times New Roman" w:hAnsi="Times New Roman"/>
          <w:sz w:val="25"/>
          <w:szCs w:val="25"/>
        </w:rPr>
        <w:t xml:space="preserve"> с предпринимательской деятельностью и не относя</w:t>
      </w:r>
      <w:r w:rsidR="006F5B13">
        <w:rPr>
          <w:rFonts w:ascii="Times New Roman" w:hAnsi="Times New Roman"/>
          <w:sz w:val="25"/>
          <w:szCs w:val="25"/>
        </w:rPr>
        <w:t>шихся</w:t>
      </w:r>
      <w:r w:rsidRPr="00C62A87">
        <w:rPr>
          <w:rFonts w:ascii="Times New Roman" w:hAnsi="Times New Roman"/>
          <w:sz w:val="25"/>
          <w:szCs w:val="25"/>
        </w:rPr>
        <w:t xml:space="preserve"> к благотворительной деятельности (например, создание творческих произведений, организация уборки и благоустройства территорий, создание программ для ЭВМ с открытым исходным кодом (т.н. open source решений) и т.д.).</w:t>
      </w:r>
    </w:p>
    <w:p w14:paraId="729C95F2" w14:textId="12717F9E" w:rsidR="00756A10" w:rsidRPr="006F5B13" w:rsidRDefault="00756A10" w:rsidP="006F5B13">
      <w:pPr>
        <w:spacing w:before="80" w:after="80"/>
        <w:ind w:firstLine="567"/>
        <w:jc w:val="both"/>
        <w:rPr>
          <w:rFonts w:ascii="Times New Roman" w:hAnsi="Times New Roman"/>
          <w:sz w:val="25"/>
          <w:szCs w:val="25"/>
        </w:rPr>
      </w:pPr>
      <w:r w:rsidRPr="00C62A87">
        <w:rPr>
          <w:rFonts w:ascii="Times New Roman" w:hAnsi="Times New Roman"/>
          <w:sz w:val="25"/>
          <w:szCs w:val="25"/>
        </w:rPr>
        <w:t>Между тем, в настоящее время именно физические лица являются основными участниками подобных краудфандинговых (инвестиционных) платформ</w:t>
      </w:r>
      <w:r w:rsidR="006F5B13">
        <w:rPr>
          <w:rFonts w:ascii="Times New Roman" w:hAnsi="Times New Roman"/>
          <w:sz w:val="25"/>
          <w:szCs w:val="25"/>
        </w:rPr>
        <w:t xml:space="preserve">. </w:t>
      </w:r>
      <w:r w:rsidR="006F5B13" w:rsidRPr="006F5B13">
        <w:rPr>
          <w:rFonts w:ascii="Times New Roman" w:hAnsi="Times New Roman"/>
          <w:sz w:val="25"/>
          <w:szCs w:val="25"/>
        </w:rPr>
        <w:t>Соответственно,</w:t>
      </w:r>
      <w:r w:rsidRPr="00C62A87">
        <w:rPr>
          <w:rFonts w:ascii="Times New Roman" w:hAnsi="Times New Roman"/>
          <w:sz w:val="25"/>
          <w:szCs w:val="25"/>
        </w:rPr>
        <w:t xml:space="preserve"> деятельность </w:t>
      </w:r>
      <w:r w:rsidR="006F5B13">
        <w:rPr>
          <w:rFonts w:ascii="Times New Roman" w:hAnsi="Times New Roman"/>
          <w:sz w:val="25"/>
          <w:szCs w:val="25"/>
        </w:rPr>
        <w:t xml:space="preserve">их </w:t>
      </w:r>
      <w:r w:rsidRPr="00C62A87">
        <w:rPr>
          <w:rFonts w:ascii="Times New Roman" w:hAnsi="Times New Roman"/>
          <w:sz w:val="25"/>
          <w:szCs w:val="25"/>
        </w:rPr>
        <w:t xml:space="preserve">участников после принятия </w:t>
      </w:r>
      <w:r w:rsidR="00E549FA" w:rsidRPr="00E549FA">
        <w:rPr>
          <w:rFonts w:ascii="Times New Roman" w:hAnsi="Times New Roman"/>
          <w:sz w:val="25"/>
          <w:szCs w:val="25"/>
        </w:rPr>
        <w:t>проект</w:t>
      </w:r>
      <w:r w:rsidR="00E549FA">
        <w:rPr>
          <w:rFonts w:ascii="Times New Roman" w:hAnsi="Times New Roman"/>
          <w:sz w:val="25"/>
          <w:szCs w:val="25"/>
        </w:rPr>
        <w:t>а</w:t>
      </w:r>
      <w:r w:rsidR="00E549FA" w:rsidRPr="00E549FA">
        <w:rPr>
          <w:rFonts w:ascii="Times New Roman" w:hAnsi="Times New Roman"/>
          <w:sz w:val="25"/>
          <w:szCs w:val="25"/>
        </w:rPr>
        <w:t xml:space="preserve"> закона о краудфандинге</w:t>
      </w:r>
      <w:r w:rsidR="00E549FA" w:rsidRPr="00E549FA" w:rsidDel="00E549FA">
        <w:rPr>
          <w:rFonts w:ascii="Times New Roman" w:hAnsi="Times New Roman"/>
          <w:sz w:val="25"/>
          <w:szCs w:val="25"/>
        </w:rPr>
        <w:t xml:space="preserve"> </w:t>
      </w:r>
      <w:r w:rsidRPr="00C62A87">
        <w:rPr>
          <w:rFonts w:ascii="Times New Roman" w:hAnsi="Times New Roman"/>
          <w:sz w:val="25"/>
          <w:szCs w:val="25"/>
        </w:rPr>
        <w:t>может трактоваться правоприменительными органами как незаконная.</w:t>
      </w:r>
    </w:p>
    <w:p w14:paraId="43C47936" w14:textId="5E4F2EEA" w:rsidR="00256883" w:rsidRDefault="00756A10" w:rsidP="00256883">
      <w:pPr>
        <w:spacing w:before="80" w:after="80"/>
        <w:ind w:firstLine="567"/>
        <w:jc w:val="both"/>
        <w:rPr>
          <w:rFonts w:ascii="Times New Roman" w:hAnsi="Times New Roman"/>
          <w:sz w:val="25"/>
          <w:szCs w:val="25"/>
        </w:rPr>
      </w:pPr>
      <w:r w:rsidRPr="00C62A87">
        <w:rPr>
          <w:rFonts w:ascii="Times New Roman" w:hAnsi="Times New Roman"/>
          <w:sz w:val="25"/>
          <w:szCs w:val="25"/>
        </w:rPr>
        <w:t xml:space="preserve">В этой связи </w:t>
      </w:r>
      <w:r w:rsidR="006E76CE">
        <w:rPr>
          <w:rFonts w:ascii="Times New Roman" w:hAnsi="Times New Roman"/>
          <w:sz w:val="25"/>
          <w:szCs w:val="25"/>
        </w:rPr>
        <w:t>следует</w:t>
      </w:r>
      <w:r w:rsidRPr="00C62A87">
        <w:rPr>
          <w:rFonts w:ascii="Times New Roman" w:hAnsi="Times New Roman"/>
          <w:sz w:val="25"/>
          <w:szCs w:val="25"/>
        </w:rPr>
        <w:t xml:space="preserve"> внести в </w:t>
      </w:r>
      <w:r w:rsidR="00E549FA" w:rsidRPr="00E549FA">
        <w:rPr>
          <w:rFonts w:ascii="Times New Roman" w:hAnsi="Times New Roman"/>
          <w:sz w:val="25"/>
          <w:szCs w:val="25"/>
        </w:rPr>
        <w:t>проект закона о краудфандинге</w:t>
      </w:r>
      <w:r w:rsidRPr="00C62A87">
        <w:rPr>
          <w:rFonts w:ascii="Times New Roman" w:hAnsi="Times New Roman"/>
          <w:sz w:val="25"/>
          <w:szCs w:val="25"/>
        </w:rPr>
        <w:t xml:space="preserve"> уточнение в отношении круга лиц, которые вправе привлекать инвестиции с помощью инвестиционных платформ, целей инвестиционных проектов, регулируемых настоящим законом, определить позицию законодателя в отношении «некоммерческих проектов» и возможности </w:t>
      </w:r>
      <w:r w:rsidR="00403B6D" w:rsidRPr="00C62A87">
        <w:rPr>
          <w:rFonts w:ascii="Times New Roman" w:hAnsi="Times New Roman"/>
          <w:sz w:val="25"/>
          <w:szCs w:val="25"/>
        </w:rPr>
        <w:t>физических лиц,</w:t>
      </w:r>
      <w:r w:rsidRPr="00C62A87">
        <w:rPr>
          <w:rFonts w:ascii="Times New Roman" w:hAnsi="Times New Roman"/>
          <w:sz w:val="25"/>
          <w:szCs w:val="25"/>
        </w:rPr>
        <w:t xml:space="preserve"> не являющихся индивидуальными предпринимателями быть субъектами, привлекающими инвестиции </w:t>
      </w:r>
      <w:r w:rsidR="00E549FA">
        <w:rPr>
          <w:rFonts w:ascii="Times New Roman" w:hAnsi="Times New Roman"/>
          <w:sz w:val="25"/>
          <w:szCs w:val="25"/>
        </w:rPr>
        <w:t>для целей</w:t>
      </w:r>
      <w:r w:rsidR="00E549FA" w:rsidRPr="00C62A87">
        <w:rPr>
          <w:rFonts w:ascii="Times New Roman" w:hAnsi="Times New Roman"/>
          <w:sz w:val="25"/>
          <w:szCs w:val="25"/>
        </w:rPr>
        <w:t xml:space="preserve"> </w:t>
      </w:r>
      <w:r w:rsidRPr="00C62A87">
        <w:rPr>
          <w:rFonts w:ascii="Times New Roman" w:hAnsi="Times New Roman"/>
          <w:sz w:val="25"/>
          <w:szCs w:val="25"/>
        </w:rPr>
        <w:t>«некоммерческих</w:t>
      </w:r>
      <w:r w:rsidR="00E549FA">
        <w:rPr>
          <w:rFonts w:ascii="Times New Roman" w:hAnsi="Times New Roman"/>
          <w:sz w:val="25"/>
          <w:szCs w:val="25"/>
        </w:rPr>
        <w:t xml:space="preserve"> проектов»</w:t>
      </w:r>
      <w:r w:rsidR="00256883">
        <w:rPr>
          <w:rFonts w:ascii="Times New Roman" w:hAnsi="Times New Roman"/>
          <w:sz w:val="25"/>
          <w:szCs w:val="25"/>
        </w:rPr>
        <w:t>.</w:t>
      </w:r>
    </w:p>
    <w:p w14:paraId="2BC17281" w14:textId="0B621F6D" w:rsidR="00256883" w:rsidRPr="006E76CE" w:rsidRDefault="00256883" w:rsidP="00256883">
      <w:pPr>
        <w:spacing w:before="80" w:after="80"/>
        <w:ind w:firstLine="567"/>
        <w:jc w:val="both"/>
        <w:rPr>
          <w:rFonts w:ascii="Times New Roman" w:hAnsi="Times New Roman"/>
          <w:sz w:val="25"/>
          <w:szCs w:val="25"/>
        </w:rPr>
      </w:pPr>
      <w:r>
        <w:rPr>
          <w:rFonts w:ascii="Times New Roman" w:hAnsi="Times New Roman"/>
          <w:sz w:val="25"/>
          <w:szCs w:val="25"/>
        </w:rPr>
        <w:t>Проект закона о краудфандинге</w:t>
      </w:r>
      <w:r w:rsidR="00FD5FCA">
        <w:rPr>
          <w:rFonts w:ascii="Times New Roman" w:hAnsi="Times New Roman"/>
          <w:sz w:val="25"/>
          <w:szCs w:val="25"/>
        </w:rPr>
        <w:t xml:space="preserve"> (</w:t>
      </w:r>
      <w:r w:rsidR="00D86210">
        <w:rPr>
          <w:rFonts w:ascii="Times New Roman" w:hAnsi="Times New Roman"/>
          <w:sz w:val="25"/>
          <w:szCs w:val="25"/>
        </w:rPr>
        <w:t>п. 4</w:t>
      </w:r>
      <w:r w:rsidR="00D86210" w:rsidRPr="001E5EF1">
        <w:rPr>
          <w:rFonts w:ascii="Times New Roman" w:hAnsi="Times New Roman"/>
          <w:sz w:val="25"/>
          <w:szCs w:val="25"/>
        </w:rPr>
        <w:t xml:space="preserve"> </w:t>
      </w:r>
      <w:r w:rsidR="00FD5FCA">
        <w:rPr>
          <w:rFonts w:ascii="Times New Roman" w:hAnsi="Times New Roman"/>
          <w:sz w:val="25"/>
          <w:szCs w:val="25"/>
        </w:rPr>
        <w:t>стать</w:t>
      </w:r>
      <w:r w:rsidR="00D86210">
        <w:rPr>
          <w:rFonts w:ascii="Times New Roman" w:hAnsi="Times New Roman"/>
          <w:sz w:val="25"/>
          <w:szCs w:val="25"/>
        </w:rPr>
        <w:t>и</w:t>
      </w:r>
      <w:r w:rsidR="00FD5FCA">
        <w:rPr>
          <w:rFonts w:ascii="Times New Roman" w:hAnsi="Times New Roman"/>
          <w:sz w:val="25"/>
          <w:szCs w:val="25"/>
        </w:rPr>
        <w:t xml:space="preserve"> 5)</w:t>
      </w:r>
      <w:r>
        <w:rPr>
          <w:rFonts w:ascii="Times New Roman" w:hAnsi="Times New Roman"/>
          <w:sz w:val="25"/>
          <w:szCs w:val="25"/>
        </w:rPr>
        <w:t xml:space="preserve"> устанавливает ограничения на </w:t>
      </w:r>
      <w:r w:rsidR="00FD5FCA">
        <w:rPr>
          <w:rFonts w:ascii="Times New Roman" w:hAnsi="Times New Roman"/>
          <w:sz w:val="25"/>
          <w:szCs w:val="25"/>
        </w:rPr>
        <w:t xml:space="preserve">годовые </w:t>
      </w:r>
      <w:r>
        <w:rPr>
          <w:rFonts w:ascii="Times New Roman" w:hAnsi="Times New Roman"/>
          <w:sz w:val="25"/>
          <w:szCs w:val="25"/>
        </w:rPr>
        <w:t>инвестиции для граждан</w:t>
      </w:r>
      <w:r w:rsidR="00FD5FCA">
        <w:rPr>
          <w:rFonts w:ascii="Times New Roman" w:hAnsi="Times New Roman"/>
          <w:sz w:val="25"/>
          <w:szCs w:val="25"/>
        </w:rPr>
        <w:t xml:space="preserve">, составляющие 600 000 рублей. Полагаем, что данное </w:t>
      </w:r>
      <w:r w:rsidR="002D58EF">
        <w:rPr>
          <w:rFonts w:ascii="Times New Roman" w:hAnsi="Times New Roman"/>
          <w:sz w:val="25"/>
          <w:szCs w:val="25"/>
        </w:rPr>
        <w:t xml:space="preserve">положение </w:t>
      </w:r>
      <w:r w:rsidR="00FD5FCA">
        <w:rPr>
          <w:rFonts w:ascii="Times New Roman" w:hAnsi="Times New Roman"/>
          <w:sz w:val="25"/>
          <w:szCs w:val="25"/>
        </w:rPr>
        <w:t>в условиях текущих реалий сумма должна быть увеличена</w:t>
      </w:r>
      <w:r w:rsidR="00E549FA">
        <w:rPr>
          <w:rFonts w:ascii="Times New Roman" w:hAnsi="Times New Roman"/>
          <w:sz w:val="25"/>
          <w:szCs w:val="25"/>
        </w:rPr>
        <w:t xml:space="preserve">, как минимум, вдвое, </w:t>
      </w:r>
      <w:r w:rsidR="00FD5FCA">
        <w:rPr>
          <w:rFonts w:ascii="Times New Roman" w:hAnsi="Times New Roman"/>
          <w:sz w:val="25"/>
          <w:szCs w:val="25"/>
        </w:rPr>
        <w:t>до 1 200 000 рублей и распространят</w:t>
      </w:r>
      <w:r w:rsidR="00E549FA">
        <w:rPr>
          <w:rFonts w:ascii="Times New Roman" w:hAnsi="Times New Roman"/>
          <w:sz w:val="25"/>
          <w:szCs w:val="25"/>
        </w:rPr>
        <w:t>ь</w:t>
      </w:r>
      <w:r w:rsidR="00FD5FCA">
        <w:rPr>
          <w:rFonts w:ascii="Times New Roman" w:hAnsi="Times New Roman"/>
          <w:sz w:val="25"/>
          <w:szCs w:val="25"/>
        </w:rPr>
        <w:t>ся только на «инвестиции в обороте», таким образом предоставляя возможность гражданам продолжать осуществление инвестиций после возврата капитала.</w:t>
      </w:r>
      <w:r w:rsidR="006E76CE">
        <w:rPr>
          <w:rFonts w:ascii="Times New Roman" w:hAnsi="Times New Roman"/>
          <w:sz w:val="25"/>
          <w:szCs w:val="25"/>
        </w:rPr>
        <w:t xml:space="preserve"> Данное обстоятельство обусловлено тем, что в настоящее время рассматривается увеличение порога по страхованию вкладов и инвестиционных счетов. Кроме того, при принятии данного решения возможно ориентироваться на добровольное страхование рисков (п. 2 раздела </w:t>
      </w:r>
      <w:r w:rsidR="006E76CE">
        <w:rPr>
          <w:rFonts w:ascii="Times New Roman" w:hAnsi="Times New Roman"/>
          <w:sz w:val="25"/>
          <w:szCs w:val="25"/>
          <w:lang w:val="en-US"/>
        </w:rPr>
        <w:t>IV</w:t>
      </w:r>
      <w:r w:rsidR="006E76CE" w:rsidRPr="00B36383">
        <w:rPr>
          <w:rFonts w:ascii="Times New Roman" w:hAnsi="Times New Roman"/>
          <w:sz w:val="25"/>
          <w:szCs w:val="25"/>
        </w:rPr>
        <w:t xml:space="preserve"> </w:t>
      </w:r>
      <w:r w:rsidR="006E76CE">
        <w:rPr>
          <w:rFonts w:ascii="Times New Roman" w:hAnsi="Times New Roman"/>
          <w:sz w:val="25"/>
          <w:szCs w:val="25"/>
        </w:rPr>
        <w:t>настоящего заключения).</w:t>
      </w:r>
    </w:p>
    <w:p w14:paraId="56C5AA1B" w14:textId="48ABE854" w:rsidR="00756A10" w:rsidRDefault="00851696" w:rsidP="001E5EF1">
      <w:pPr>
        <w:spacing w:before="80" w:after="80"/>
        <w:ind w:firstLine="567"/>
        <w:jc w:val="both"/>
        <w:rPr>
          <w:rFonts w:ascii="Times New Roman" w:hAnsi="Times New Roman"/>
          <w:sz w:val="25"/>
          <w:szCs w:val="25"/>
        </w:rPr>
      </w:pPr>
      <w:r>
        <w:rPr>
          <w:rFonts w:ascii="Times New Roman" w:hAnsi="Times New Roman"/>
          <w:sz w:val="25"/>
          <w:szCs w:val="25"/>
        </w:rPr>
        <w:t>5. Проект закона о ЦФА</w:t>
      </w:r>
      <w:r w:rsidR="00CE25F9">
        <w:rPr>
          <w:rFonts w:ascii="Times New Roman" w:hAnsi="Times New Roman"/>
          <w:sz w:val="25"/>
          <w:szCs w:val="25"/>
        </w:rPr>
        <w:t xml:space="preserve"> (статья 1)</w:t>
      </w:r>
      <w:r>
        <w:rPr>
          <w:rFonts w:ascii="Times New Roman" w:hAnsi="Times New Roman"/>
          <w:sz w:val="25"/>
          <w:szCs w:val="25"/>
        </w:rPr>
        <w:t xml:space="preserve"> в отдельных положениях употребляет</w:t>
      </w:r>
      <w:r w:rsidR="00CE25F9">
        <w:rPr>
          <w:rFonts w:ascii="Times New Roman" w:hAnsi="Times New Roman"/>
          <w:sz w:val="25"/>
          <w:szCs w:val="25"/>
        </w:rPr>
        <w:t xml:space="preserve"> в отношении токенов</w:t>
      </w:r>
      <w:r>
        <w:rPr>
          <w:rFonts w:ascii="Times New Roman" w:hAnsi="Times New Roman"/>
          <w:sz w:val="25"/>
          <w:szCs w:val="25"/>
        </w:rPr>
        <w:t xml:space="preserve"> </w:t>
      </w:r>
      <w:r w:rsidR="00E549FA">
        <w:rPr>
          <w:rFonts w:ascii="Times New Roman" w:hAnsi="Times New Roman"/>
          <w:sz w:val="25"/>
          <w:szCs w:val="25"/>
        </w:rPr>
        <w:t xml:space="preserve">понятие </w:t>
      </w:r>
      <w:r>
        <w:rPr>
          <w:rFonts w:ascii="Times New Roman" w:hAnsi="Times New Roman"/>
          <w:sz w:val="25"/>
          <w:szCs w:val="25"/>
        </w:rPr>
        <w:t xml:space="preserve">«эмиссионные ценные бумаги», а </w:t>
      </w:r>
      <w:r w:rsidR="00E549FA">
        <w:rPr>
          <w:rFonts w:ascii="Times New Roman" w:hAnsi="Times New Roman"/>
          <w:sz w:val="25"/>
          <w:szCs w:val="25"/>
        </w:rPr>
        <w:t>в других положениях</w:t>
      </w:r>
      <w:r>
        <w:rPr>
          <w:rFonts w:ascii="Times New Roman" w:hAnsi="Times New Roman"/>
          <w:sz w:val="25"/>
          <w:szCs w:val="25"/>
        </w:rPr>
        <w:t xml:space="preserve"> </w:t>
      </w:r>
      <w:r w:rsidR="00CE25F9">
        <w:rPr>
          <w:rFonts w:ascii="Times New Roman" w:hAnsi="Times New Roman"/>
          <w:sz w:val="25"/>
          <w:szCs w:val="25"/>
        </w:rPr>
        <w:t>идет уточнение, что речь идет об акциях непубличных акционерных обществ. Рекомендуется уточнить</w:t>
      </w:r>
      <w:r w:rsidR="006E76CE">
        <w:rPr>
          <w:rFonts w:ascii="Times New Roman" w:hAnsi="Times New Roman"/>
          <w:sz w:val="25"/>
          <w:szCs w:val="25"/>
        </w:rPr>
        <w:t xml:space="preserve"> в законопроектах</w:t>
      </w:r>
      <w:r w:rsidR="00CE25F9">
        <w:rPr>
          <w:rFonts w:ascii="Times New Roman" w:hAnsi="Times New Roman"/>
          <w:sz w:val="25"/>
          <w:szCs w:val="25"/>
        </w:rPr>
        <w:t xml:space="preserve"> о каких</w:t>
      </w:r>
      <w:r w:rsidR="006E76CE">
        <w:rPr>
          <w:rFonts w:ascii="Times New Roman" w:hAnsi="Times New Roman"/>
          <w:sz w:val="25"/>
          <w:szCs w:val="25"/>
        </w:rPr>
        <w:t xml:space="preserve"> именно</w:t>
      </w:r>
      <w:r w:rsidR="00CE25F9">
        <w:rPr>
          <w:rFonts w:ascii="Times New Roman" w:hAnsi="Times New Roman"/>
          <w:sz w:val="25"/>
          <w:szCs w:val="25"/>
        </w:rPr>
        <w:t xml:space="preserve"> эмиссионных ценных бумагах идет речь.</w:t>
      </w:r>
    </w:p>
    <w:p w14:paraId="3ECC7D63" w14:textId="5C3E13A8" w:rsidR="006F5B13" w:rsidRDefault="00403560" w:rsidP="006F5B13">
      <w:pPr>
        <w:spacing w:before="80" w:after="80"/>
        <w:ind w:firstLine="567"/>
        <w:jc w:val="both"/>
        <w:rPr>
          <w:rFonts w:ascii="Times New Roman" w:hAnsi="Times New Roman"/>
          <w:sz w:val="25"/>
          <w:szCs w:val="25"/>
        </w:rPr>
      </w:pPr>
      <w:r>
        <w:rPr>
          <w:rFonts w:ascii="Times New Roman" w:hAnsi="Times New Roman"/>
          <w:sz w:val="25"/>
          <w:szCs w:val="25"/>
        </w:rPr>
        <w:t xml:space="preserve">6. </w:t>
      </w:r>
      <w:r w:rsidRPr="001E5EF1">
        <w:rPr>
          <w:rFonts w:ascii="Times New Roman" w:hAnsi="Times New Roman"/>
          <w:sz w:val="25"/>
          <w:szCs w:val="25"/>
        </w:rPr>
        <w:t>Не понятен статус цифровых прав в период, когда оператор информационной системы исключен из реестра, а новый оператор пока не появился</w:t>
      </w:r>
      <w:r w:rsidR="006F5B13" w:rsidRPr="006F5B13">
        <w:rPr>
          <w:rFonts w:ascii="Times New Roman" w:hAnsi="Times New Roman"/>
          <w:sz w:val="25"/>
          <w:szCs w:val="25"/>
        </w:rPr>
        <w:t>. Кроме того, не все</w:t>
      </w:r>
      <w:r w:rsidR="006F5B13">
        <w:rPr>
          <w:rFonts w:ascii="Times New Roman" w:hAnsi="Times New Roman"/>
          <w:sz w:val="25"/>
          <w:szCs w:val="25"/>
        </w:rPr>
        <w:t xml:space="preserve"> </w:t>
      </w:r>
      <w:r w:rsidR="006F5B13" w:rsidRPr="006F5B13">
        <w:rPr>
          <w:rFonts w:ascii="Times New Roman" w:hAnsi="Times New Roman"/>
          <w:sz w:val="25"/>
          <w:szCs w:val="25"/>
        </w:rPr>
        <w:t>операторы в силу уникальности могут быть взаимозаменяемы.</w:t>
      </w:r>
    </w:p>
    <w:p w14:paraId="5FDAD003" w14:textId="77777777" w:rsidR="006E2C46" w:rsidRDefault="00403560" w:rsidP="001E5EF1">
      <w:pPr>
        <w:spacing w:before="80" w:after="80"/>
        <w:ind w:firstLine="567"/>
        <w:jc w:val="both"/>
        <w:rPr>
          <w:rFonts w:ascii="Times New Roman" w:hAnsi="Times New Roman"/>
          <w:sz w:val="25"/>
          <w:szCs w:val="25"/>
        </w:rPr>
      </w:pPr>
      <w:r>
        <w:rPr>
          <w:rFonts w:ascii="Times New Roman" w:hAnsi="Times New Roman"/>
          <w:sz w:val="25"/>
          <w:szCs w:val="25"/>
        </w:rPr>
        <w:t>Проект закона о ЦФА</w:t>
      </w:r>
      <w:r w:rsidRPr="00403560">
        <w:rPr>
          <w:rFonts w:ascii="Times New Roman" w:hAnsi="Times New Roman"/>
          <w:sz w:val="25"/>
          <w:szCs w:val="25"/>
        </w:rPr>
        <w:t xml:space="preserve"> </w:t>
      </w:r>
      <w:r w:rsidRPr="001E5EF1">
        <w:rPr>
          <w:rFonts w:ascii="Times New Roman" w:hAnsi="Times New Roman"/>
          <w:sz w:val="25"/>
          <w:szCs w:val="25"/>
        </w:rPr>
        <w:t>говорит о 30 рабочих днях на передачу информации об обладателях цифровых финансовых активов оператору иной информационной системы (ч. 15 ст. 5). При этом внесение изменений в записи об обладателях цифровых финансовых активов не допускается в этот период. Получается, что владельцы таких активов не могут осуществлять принадлежащие им права в этот период времени и соответствующие активы приобретают «подвешенный» статус. Это подрывает доверие к соответствующей системе, особенно учитывая, что основания для лишения оператора статуса носят очень общий характер («нарушение требований законодательства РФ»</w:t>
      </w:r>
      <w:r w:rsidR="00D86210">
        <w:rPr>
          <w:rFonts w:ascii="Times New Roman" w:hAnsi="Times New Roman"/>
          <w:sz w:val="25"/>
          <w:szCs w:val="25"/>
        </w:rPr>
        <w:t xml:space="preserve"> -</w:t>
      </w:r>
      <w:r w:rsidRPr="001E5EF1">
        <w:rPr>
          <w:rFonts w:ascii="Times New Roman" w:hAnsi="Times New Roman"/>
          <w:sz w:val="25"/>
          <w:szCs w:val="25"/>
        </w:rPr>
        <w:t xml:space="preserve"> ч. 14 ст. 5). Учитывая серьезность последствий исключения оператора из реестра для третьих лиц и оборота в целом целесообразно установить более четкий перечень таких </w:t>
      </w:r>
      <w:r w:rsidRPr="001E5EF1">
        <w:rPr>
          <w:rFonts w:ascii="Times New Roman" w:hAnsi="Times New Roman"/>
          <w:sz w:val="25"/>
          <w:szCs w:val="25"/>
        </w:rPr>
        <w:lastRenderedPageBreak/>
        <w:t>оснований и, возможно, альтернативный механизм внесения изменений в содержание реестра в «переходный период».</w:t>
      </w:r>
    </w:p>
    <w:p w14:paraId="7C8BCC37" w14:textId="4C601071" w:rsidR="00403560" w:rsidRDefault="00403560" w:rsidP="00485357">
      <w:pPr>
        <w:spacing w:before="80" w:after="80"/>
        <w:jc w:val="both"/>
        <w:rPr>
          <w:rFonts w:ascii="Times New Roman" w:hAnsi="Times New Roman"/>
          <w:sz w:val="25"/>
          <w:szCs w:val="25"/>
        </w:rPr>
      </w:pPr>
    </w:p>
    <w:p w14:paraId="7CC9D574" w14:textId="77777777" w:rsidR="00AC12C9" w:rsidRPr="00AC12C9" w:rsidRDefault="00AC12C9" w:rsidP="0092495C">
      <w:pPr>
        <w:spacing w:before="80" w:after="80"/>
        <w:jc w:val="center"/>
        <w:rPr>
          <w:rFonts w:ascii="Times New Roman" w:hAnsi="Times New Roman"/>
          <w:i/>
          <w:sz w:val="25"/>
          <w:szCs w:val="25"/>
        </w:rPr>
      </w:pPr>
      <w:r>
        <w:rPr>
          <w:rFonts w:ascii="Times New Roman" w:hAnsi="Times New Roman"/>
          <w:i/>
          <w:sz w:val="25"/>
          <w:szCs w:val="25"/>
          <w:lang w:val="en-US"/>
        </w:rPr>
        <w:t>II</w:t>
      </w:r>
    </w:p>
    <w:p w14:paraId="1F8E1D34" w14:textId="5B5911DD" w:rsidR="00A97736" w:rsidRPr="00B429BA" w:rsidRDefault="00321BBC" w:rsidP="0092495C">
      <w:pPr>
        <w:spacing w:before="80" w:after="80"/>
        <w:jc w:val="center"/>
        <w:rPr>
          <w:rFonts w:ascii="Times New Roman" w:hAnsi="Times New Roman"/>
          <w:i/>
          <w:sz w:val="25"/>
          <w:szCs w:val="25"/>
        </w:rPr>
      </w:pPr>
      <w:r w:rsidRPr="00B429BA">
        <w:rPr>
          <w:rFonts w:ascii="Times New Roman" w:hAnsi="Times New Roman"/>
          <w:i/>
          <w:sz w:val="25"/>
          <w:szCs w:val="25"/>
        </w:rPr>
        <w:t>Виды и определения технологии блокчейн, используемые в законопроектах</w:t>
      </w:r>
      <w:r w:rsidR="00EB6E4E">
        <w:rPr>
          <w:rFonts w:ascii="Times New Roman" w:hAnsi="Times New Roman"/>
          <w:i/>
          <w:sz w:val="25"/>
          <w:szCs w:val="25"/>
        </w:rPr>
        <w:t>, а также иные технические моменты</w:t>
      </w:r>
    </w:p>
    <w:p w14:paraId="0AE8451B" w14:textId="77777777" w:rsidR="00B429BA" w:rsidRPr="00906231" w:rsidRDefault="00B429BA" w:rsidP="0092495C">
      <w:pPr>
        <w:spacing w:before="80" w:after="80"/>
        <w:jc w:val="center"/>
        <w:rPr>
          <w:rFonts w:ascii="Times New Roman" w:hAnsi="Times New Roman"/>
          <w:sz w:val="25"/>
          <w:szCs w:val="25"/>
        </w:rPr>
      </w:pPr>
    </w:p>
    <w:p w14:paraId="4824BDF3" w14:textId="1266C887" w:rsidR="00321BBC" w:rsidRPr="00B429BA" w:rsidRDefault="00AC12C9" w:rsidP="001E5EF1">
      <w:pPr>
        <w:spacing w:before="80" w:after="80"/>
        <w:ind w:firstLine="567"/>
        <w:jc w:val="both"/>
        <w:rPr>
          <w:rFonts w:ascii="Times New Roman" w:hAnsi="Times New Roman"/>
          <w:sz w:val="25"/>
          <w:szCs w:val="25"/>
        </w:rPr>
      </w:pPr>
      <w:r w:rsidRPr="00AC12C9">
        <w:rPr>
          <w:rFonts w:ascii="Times New Roman" w:hAnsi="Times New Roman"/>
          <w:sz w:val="25"/>
          <w:szCs w:val="25"/>
        </w:rPr>
        <w:t xml:space="preserve">1. </w:t>
      </w:r>
      <w:r w:rsidR="00321BBC" w:rsidRPr="00B429BA">
        <w:rPr>
          <w:rFonts w:ascii="Times New Roman" w:hAnsi="Times New Roman"/>
          <w:sz w:val="25"/>
          <w:szCs w:val="25"/>
        </w:rPr>
        <w:t xml:space="preserve">Одной из ключевых особенностей существующих блокчейн-систем является отсутствие центрального посредника в виде организации, ответственной за целостность информации. Во всех популярных блокчейн-системах можно обойтись без централизованного посредника постольку, поскольку целостность информации обеспечивается технологическими и программными методами. Безопасность таких систем зависит от технологии и </w:t>
      </w:r>
      <w:r>
        <w:rPr>
          <w:rFonts w:ascii="Times New Roman" w:hAnsi="Times New Roman"/>
          <w:sz w:val="25"/>
          <w:szCs w:val="25"/>
        </w:rPr>
        <w:t xml:space="preserve">зачастую </w:t>
      </w:r>
      <w:r w:rsidR="00321BBC" w:rsidRPr="00B429BA">
        <w:rPr>
          <w:rFonts w:ascii="Times New Roman" w:hAnsi="Times New Roman"/>
          <w:sz w:val="25"/>
          <w:szCs w:val="25"/>
        </w:rPr>
        <w:t xml:space="preserve">нет необходимости в мерах ее дополнительного обеспечения с помощью централизованного посредника. Введение </w:t>
      </w:r>
      <w:r w:rsidR="006E76CE">
        <w:rPr>
          <w:rFonts w:ascii="Times New Roman" w:hAnsi="Times New Roman"/>
          <w:sz w:val="25"/>
          <w:szCs w:val="25"/>
        </w:rPr>
        <w:t xml:space="preserve">только </w:t>
      </w:r>
      <w:r w:rsidR="00321BBC" w:rsidRPr="00B429BA">
        <w:rPr>
          <w:rFonts w:ascii="Times New Roman" w:hAnsi="Times New Roman"/>
          <w:sz w:val="25"/>
          <w:szCs w:val="25"/>
        </w:rPr>
        <w:t xml:space="preserve">централизованного посредника – оператора информационной системы </w:t>
      </w:r>
      <w:r>
        <w:rPr>
          <w:rFonts w:ascii="Times New Roman" w:hAnsi="Times New Roman"/>
          <w:sz w:val="25"/>
          <w:szCs w:val="25"/>
        </w:rPr>
        <w:t xml:space="preserve">может </w:t>
      </w:r>
      <w:r w:rsidR="00321BBC" w:rsidRPr="00B429BA">
        <w:rPr>
          <w:rFonts w:ascii="Times New Roman" w:hAnsi="Times New Roman"/>
          <w:sz w:val="25"/>
          <w:szCs w:val="25"/>
        </w:rPr>
        <w:t>прив</w:t>
      </w:r>
      <w:r>
        <w:rPr>
          <w:rFonts w:ascii="Times New Roman" w:hAnsi="Times New Roman"/>
          <w:sz w:val="25"/>
          <w:szCs w:val="25"/>
        </w:rPr>
        <w:t>ести</w:t>
      </w:r>
      <w:r w:rsidR="00321BBC" w:rsidRPr="00B429BA">
        <w:rPr>
          <w:rFonts w:ascii="Times New Roman" w:hAnsi="Times New Roman"/>
          <w:sz w:val="25"/>
          <w:szCs w:val="25"/>
        </w:rPr>
        <w:t xml:space="preserve"> к дополнительным издержкам участников системы, так как они должны будут фактически содержать о</w:t>
      </w:r>
      <w:r>
        <w:rPr>
          <w:rFonts w:ascii="Times New Roman" w:hAnsi="Times New Roman"/>
          <w:sz w:val="25"/>
          <w:szCs w:val="25"/>
        </w:rPr>
        <w:t>ператора информационной системы. Кроме того,</w:t>
      </w:r>
      <w:r w:rsidR="00321BBC" w:rsidRPr="00B429BA">
        <w:rPr>
          <w:rFonts w:ascii="Times New Roman" w:hAnsi="Times New Roman"/>
          <w:sz w:val="25"/>
          <w:szCs w:val="25"/>
        </w:rPr>
        <w:t xml:space="preserve"> </w:t>
      </w:r>
      <w:r>
        <w:rPr>
          <w:rFonts w:ascii="Times New Roman" w:hAnsi="Times New Roman"/>
          <w:sz w:val="25"/>
          <w:szCs w:val="25"/>
        </w:rPr>
        <w:t xml:space="preserve">это может </w:t>
      </w:r>
      <w:r w:rsidR="006E76CE">
        <w:rPr>
          <w:rFonts w:ascii="Times New Roman" w:hAnsi="Times New Roman"/>
          <w:sz w:val="25"/>
          <w:szCs w:val="25"/>
        </w:rPr>
        <w:t>повлиять на безопасность</w:t>
      </w:r>
      <w:r w:rsidR="00321BBC" w:rsidRPr="00B429BA">
        <w:rPr>
          <w:rFonts w:ascii="Times New Roman" w:hAnsi="Times New Roman"/>
          <w:sz w:val="25"/>
          <w:szCs w:val="25"/>
        </w:rPr>
        <w:t xml:space="preserve"> системы и ее работоспособности вследствие того, что оператор имеет непосредственную возможность</w:t>
      </w:r>
      <w:r>
        <w:rPr>
          <w:rFonts w:ascii="Times New Roman" w:hAnsi="Times New Roman"/>
          <w:sz w:val="25"/>
          <w:szCs w:val="25"/>
        </w:rPr>
        <w:t xml:space="preserve"> влиять на систему, </w:t>
      </w:r>
      <w:r w:rsidR="00D13B03">
        <w:rPr>
          <w:rFonts w:ascii="Times New Roman" w:hAnsi="Times New Roman"/>
          <w:sz w:val="25"/>
          <w:szCs w:val="25"/>
        </w:rPr>
        <w:t>следовательно, располагает возможностью злоупотреблять своими правами</w:t>
      </w:r>
      <w:r w:rsidR="00321BBC" w:rsidRPr="00B429BA">
        <w:rPr>
          <w:rFonts w:ascii="Times New Roman" w:hAnsi="Times New Roman"/>
          <w:sz w:val="25"/>
          <w:szCs w:val="25"/>
        </w:rPr>
        <w:t>. Деятельность в децентрализованных системах также несет в себе свои собственные риски, однако потенциальные участники системы должны иметь возможность выбора между двумя возможностями и самостоятельно определять приемлемые для них риски. </w:t>
      </w:r>
    </w:p>
    <w:p w14:paraId="4497DECE" w14:textId="0842EE18" w:rsidR="00321BBC" w:rsidRPr="00321BBC" w:rsidRDefault="00AC12C9" w:rsidP="00485357">
      <w:pPr>
        <w:spacing w:before="80" w:after="80"/>
        <w:ind w:firstLine="567"/>
        <w:jc w:val="both"/>
        <w:rPr>
          <w:rFonts w:ascii="Times New Roman" w:hAnsi="Times New Roman"/>
          <w:sz w:val="25"/>
          <w:szCs w:val="25"/>
        </w:rPr>
      </w:pPr>
      <w:r>
        <w:rPr>
          <w:rFonts w:ascii="Times New Roman" w:hAnsi="Times New Roman"/>
          <w:sz w:val="25"/>
          <w:szCs w:val="25"/>
        </w:rPr>
        <w:t>Рассматриваемые</w:t>
      </w:r>
      <w:r w:rsidR="00321BBC" w:rsidRPr="00B429BA">
        <w:rPr>
          <w:rFonts w:ascii="Times New Roman" w:hAnsi="Times New Roman"/>
          <w:sz w:val="25"/>
          <w:szCs w:val="25"/>
        </w:rPr>
        <w:t xml:space="preserve"> законопроекты предполагают возможность создания только приватных (непубличных) распределенных информационных систем и регулируют отношения в связи с цифровыми продуктами, созданными исключительно на основе таких систем, тем самым оставляя за рамками регул</w:t>
      </w:r>
      <w:r w:rsidR="006E76CE">
        <w:rPr>
          <w:rFonts w:ascii="Times New Roman" w:hAnsi="Times New Roman"/>
          <w:sz w:val="25"/>
          <w:szCs w:val="25"/>
        </w:rPr>
        <w:t xml:space="preserve">ирования отношения, возникающие и </w:t>
      </w:r>
      <w:r>
        <w:rPr>
          <w:rFonts w:ascii="Times New Roman" w:hAnsi="Times New Roman"/>
          <w:sz w:val="25"/>
          <w:szCs w:val="25"/>
        </w:rPr>
        <w:t xml:space="preserve">связанные с </w:t>
      </w:r>
      <w:r w:rsidR="00321BBC" w:rsidRPr="00B429BA">
        <w:rPr>
          <w:rFonts w:ascii="Times New Roman" w:hAnsi="Times New Roman"/>
          <w:sz w:val="25"/>
          <w:szCs w:val="25"/>
        </w:rPr>
        <w:t>использовани</w:t>
      </w:r>
      <w:r>
        <w:rPr>
          <w:rFonts w:ascii="Times New Roman" w:hAnsi="Times New Roman"/>
          <w:sz w:val="25"/>
          <w:szCs w:val="25"/>
        </w:rPr>
        <w:t>ем</w:t>
      </w:r>
      <w:r w:rsidR="00321BBC" w:rsidRPr="00B429BA">
        <w:rPr>
          <w:rFonts w:ascii="Times New Roman" w:hAnsi="Times New Roman"/>
          <w:sz w:val="25"/>
          <w:szCs w:val="25"/>
        </w:rPr>
        <w:t xml:space="preserve"> децентрализованных публичных распределенных информационных систем, а также любых цифровых продуктов, созданных на</w:t>
      </w:r>
      <w:r>
        <w:rPr>
          <w:rFonts w:ascii="Times New Roman" w:hAnsi="Times New Roman"/>
          <w:sz w:val="25"/>
          <w:szCs w:val="25"/>
        </w:rPr>
        <w:t xml:space="preserve"> их</w:t>
      </w:r>
      <w:r w:rsidR="00321BBC" w:rsidRPr="00B429BA">
        <w:rPr>
          <w:rFonts w:ascii="Times New Roman" w:hAnsi="Times New Roman"/>
          <w:sz w:val="25"/>
          <w:szCs w:val="25"/>
        </w:rPr>
        <w:t xml:space="preserve"> основе. Отсутствие в </w:t>
      </w:r>
      <w:r>
        <w:rPr>
          <w:rFonts w:ascii="Times New Roman" w:hAnsi="Times New Roman"/>
          <w:sz w:val="25"/>
          <w:szCs w:val="25"/>
        </w:rPr>
        <w:t>данных законопроектах</w:t>
      </w:r>
      <w:r w:rsidR="00321BBC" w:rsidRPr="00B429BA">
        <w:rPr>
          <w:rFonts w:ascii="Times New Roman" w:hAnsi="Times New Roman"/>
          <w:sz w:val="25"/>
          <w:szCs w:val="25"/>
        </w:rPr>
        <w:t xml:space="preserve"> признаков децентрализованных систем во взаимосвязи с нормой о цифровых </w:t>
      </w:r>
      <w:r w:rsidR="00321BBC" w:rsidRPr="00321BBC">
        <w:rPr>
          <w:rFonts w:ascii="Times New Roman" w:hAnsi="Times New Roman"/>
          <w:sz w:val="25"/>
          <w:szCs w:val="25"/>
        </w:rPr>
        <w:t xml:space="preserve">правах, содержащейся в статье 141.1 </w:t>
      </w:r>
      <w:r w:rsidR="00911B2D">
        <w:rPr>
          <w:rFonts w:ascii="Times New Roman" w:hAnsi="Times New Roman"/>
          <w:sz w:val="25"/>
          <w:szCs w:val="25"/>
        </w:rPr>
        <w:t>ГК РФ</w:t>
      </w:r>
      <w:r w:rsidR="00321BBC" w:rsidRPr="00321BBC">
        <w:rPr>
          <w:rFonts w:ascii="Times New Roman" w:hAnsi="Times New Roman"/>
          <w:sz w:val="25"/>
          <w:szCs w:val="25"/>
        </w:rPr>
        <w:t xml:space="preserve">, </w:t>
      </w:r>
      <w:r w:rsidR="00911B2D">
        <w:rPr>
          <w:rFonts w:ascii="Times New Roman" w:hAnsi="Times New Roman"/>
          <w:sz w:val="25"/>
          <w:szCs w:val="25"/>
        </w:rPr>
        <w:t xml:space="preserve">может </w:t>
      </w:r>
      <w:r w:rsidR="00321BBC" w:rsidRPr="00321BBC">
        <w:rPr>
          <w:rFonts w:ascii="Times New Roman" w:hAnsi="Times New Roman"/>
          <w:sz w:val="25"/>
          <w:szCs w:val="25"/>
        </w:rPr>
        <w:t>создат</w:t>
      </w:r>
      <w:r w:rsidR="00911B2D">
        <w:rPr>
          <w:rFonts w:ascii="Times New Roman" w:hAnsi="Times New Roman"/>
          <w:sz w:val="25"/>
          <w:szCs w:val="25"/>
        </w:rPr>
        <w:t>ь</w:t>
      </w:r>
      <w:r w:rsidR="00321BBC" w:rsidRPr="00321BBC">
        <w:rPr>
          <w:rFonts w:ascii="Times New Roman" w:hAnsi="Times New Roman"/>
          <w:sz w:val="25"/>
          <w:szCs w:val="25"/>
        </w:rPr>
        <w:t xml:space="preserve"> условия для признания незаконными сделок с цифровыми продуктами, созданными и существующими на основе децентрализованных публичных информационных систем.</w:t>
      </w:r>
      <w:r w:rsidR="00485357">
        <w:rPr>
          <w:rFonts w:ascii="Times New Roman" w:hAnsi="Times New Roman"/>
          <w:sz w:val="25"/>
          <w:szCs w:val="25"/>
        </w:rPr>
        <w:t xml:space="preserve"> Также это может стать основанием для невозможности работы на территории РФ ранее созданных иностранных систем</w:t>
      </w:r>
      <w:r w:rsidR="00485357" w:rsidRPr="00485357">
        <w:rPr>
          <w:rFonts w:ascii="Times New Roman" w:hAnsi="Times New Roman"/>
          <w:sz w:val="25"/>
          <w:szCs w:val="25"/>
        </w:rPr>
        <w:t xml:space="preserve"> распределенны</w:t>
      </w:r>
      <w:r w:rsidR="00485357">
        <w:rPr>
          <w:rFonts w:ascii="Times New Roman" w:hAnsi="Times New Roman"/>
          <w:sz w:val="25"/>
          <w:szCs w:val="25"/>
        </w:rPr>
        <w:t>х реестров</w:t>
      </w:r>
      <w:r w:rsidR="00485357" w:rsidRPr="00485357">
        <w:rPr>
          <w:rFonts w:ascii="Times New Roman" w:hAnsi="Times New Roman"/>
          <w:sz w:val="25"/>
          <w:szCs w:val="25"/>
        </w:rPr>
        <w:t>.</w:t>
      </w:r>
      <w:r w:rsidR="00D13B03">
        <w:rPr>
          <w:rFonts w:ascii="Times New Roman" w:hAnsi="Times New Roman"/>
          <w:sz w:val="25"/>
          <w:szCs w:val="25"/>
        </w:rPr>
        <w:t xml:space="preserve"> В связи с чем следует дополнить законопроекты и включить возможность использования децентрализованных систем распределённого реестра.</w:t>
      </w:r>
    </w:p>
    <w:p w14:paraId="6B3EACDF" w14:textId="451D078F" w:rsidR="00321BBC" w:rsidRPr="00321BBC" w:rsidRDefault="00911B2D" w:rsidP="001E5EF1">
      <w:pPr>
        <w:spacing w:before="80" w:after="80"/>
        <w:ind w:firstLine="567"/>
        <w:jc w:val="both"/>
        <w:rPr>
          <w:rFonts w:ascii="Times New Roman" w:hAnsi="Times New Roman"/>
          <w:sz w:val="25"/>
          <w:szCs w:val="25"/>
        </w:rPr>
      </w:pPr>
      <w:r>
        <w:rPr>
          <w:rFonts w:ascii="Times New Roman" w:hAnsi="Times New Roman"/>
          <w:sz w:val="25"/>
          <w:szCs w:val="25"/>
        </w:rPr>
        <w:t>2.</w:t>
      </w:r>
      <w:r w:rsidR="00D13B03">
        <w:rPr>
          <w:rFonts w:ascii="Times New Roman" w:hAnsi="Times New Roman"/>
          <w:sz w:val="25"/>
          <w:szCs w:val="25"/>
        </w:rPr>
        <w:t xml:space="preserve"> </w:t>
      </w:r>
      <w:r w:rsidR="00321BBC" w:rsidRPr="00321BBC">
        <w:rPr>
          <w:rFonts w:ascii="Times New Roman" w:hAnsi="Times New Roman"/>
          <w:sz w:val="25"/>
          <w:szCs w:val="25"/>
        </w:rPr>
        <w:t>Определение распределенного реестра (изменения в ФЗ «Об информации, информационных технологиях и о защите информации») представляется неполн</w:t>
      </w:r>
      <w:r w:rsidR="002B161D">
        <w:rPr>
          <w:rFonts w:ascii="Times New Roman" w:hAnsi="Times New Roman"/>
          <w:sz w:val="25"/>
          <w:szCs w:val="25"/>
        </w:rPr>
        <w:t>ым</w:t>
      </w:r>
      <w:r w:rsidR="00321BBC" w:rsidRPr="00321BBC">
        <w:rPr>
          <w:rFonts w:ascii="Times New Roman" w:hAnsi="Times New Roman"/>
          <w:sz w:val="25"/>
          <w:szCs w:val="25"/>
        </w:rPr>
        <w:t xml:space="preserve"> и может вызвать смешение с алгоритмической торговлей, к примеру, на основании алгоритмов без использования подтверждения транзакций </w:t>
      </w:r>
      <w:r w:rsidR="00E549FA" w:rsidRPr="00321BBC">
        <w:rPr>
          <w:rFonts w:ascii="Times New Roman" w:hAnsi="Times New Roman"/>
          <w:sz w:val="25"/>
          <w:szCs w:val="25"/>
        </w:rPr>
        <w:t>аналогичн</w:t>
      </w:r>
      <w:r w:rsidR="00E549FA">
        <w:rPr>
          <w:rFonts w:ascii="Times New Roman" w:hAnsi="Times New Roman"/>
          <w:sz w:val="25"/>
          <w:szCs w:val="25"/>
        </w:rPr>
        <w:t>ых</w:t>
      </w:r>
      <w:r w:rsidR="00E549FA" w:rsidRPr="00321BBC">
        <w:rPr>
          <w:rFonts w:ascii="Times New Roman" w:hAnsi="Times New Roman"/>
          <w:sz w:val="25"/>
          <w:szCs w:val="25"/>
        </w:rPr>
        <w:t xml:space="preserve"> </w:t>
      </w:r>
      <w:r w:rsidR="00E549FA">
        <w:rPr>
          <w:rFonts w:ascii="Times New Roman" w:hAnsi="Times New Roman"/>
          <w:sz w:val="25"/>
          <w:szCs w:val="25"/>
        </w:rPr>
        <w:t xml:space="preserve">используемым в технологиях </w:t>
      </w:r>
      <w:r w:rsidR="00321BBC" w:rsidRPr="00321BBC">
        <w:rPr>
          <w:rFonts w:ascii="Times New Roman" w:hAnsi="Times New Roman"/>
          <w:sz w:val="25"/>
          <w:szCs w:val="25"/>
        </w:rPr>
        <w:t>блокчейн.</w:t>
      </w:r>
    </w:p>
    <w:p w14:paraId="62F195CA" w14:textId="66A32DFB" w:rsidR="00124655" w:rsidRDefault="00274F6F" w:rsidP="00274F6F">
      <w:pPr>
        <w:spacing w:before="80" w:after="80"/>
        <w:ind w:firstLine="567"/>
        <w:jc w:val="both"/>
        <w:rPr>
          <w:rFonts w:ascii="Times New Roman" w:hAnsi="Times New Roman"/>
          <w:sz w:val="25"/>
          <w:szCs w:val="25"/>
        </w:rPr>
      </w:pPr>
      <w:r>
        <w:rPr>
          <w:rFonts w:ascii="Times New Roman" w:hAnsi="Times New Roman"/>
          <w:sz w:val="25"/>
          <w:szCs w:val="25"/>
        </w:rPr>
        <w:t>3. Р</w:t>
      </w:r>
      <w:r w:rsidR="00124655" w:rsidRPr="00274F6F">
        <w:rPr>
          <w:rFonts w:ascii="Times New Roman" w:hAnsi="Times New Roman"/>
          <w:sz w:val="25"/>
          <w:szCs w:val="25"/>
        </w:rPr>
        <w:t>яд положений</w:t>
      </w:r>
      <w:r w:rsidR="00911B2D" w:rsidRPr="00274F6F">
        <w:rPr>
          <w:rFonts w:ascii="Times New Roman" w:hAnsi="Times New Roman"/>
          <w:sz w:val="25"/>
          <w:szCs w:val="25"/>
        </w:rPr>
        <w:t xml:space="preserve"> законопроектов</w:t>
      </w:r>
      <w:r w:rsidR="00124655" w:rsidRPr="00274F6F">
        <w:rPr>
          <w:rFonts w:ascii="Times New Roman" w:hAnsi="Times New Roman"/>
          <w:sz w:val="25"/>
          <w:szCs w:val="25"/>
        </w:rPr>
        <w:t xml:space="preserve"> технически не доработан, нет четкого механизма и указаний подтверждения принадлежности или передачи активов лицу, включая иностранных участников, в целях использования также в других сферах (для налогообложения, в частности), момента перехода </w:t>
      </w:r>
      <w:r w:rsidR="00D13B03">
        <w:rPr>
          <w:rFonts w:ascii="Times New Roman" w:hAnsi="Times New Roman"/>
          <w:sz w:val="25"/>
          <w:szCs w:val="25"/>
        </w:rPr>
        <w:t>прав на различные</w:t>
      </w:r>
      <w:r w:rsidR="00124655" w:rsidRPr="00274F6F">
        <w:rPr>
          <w:rFonts w:ascii="Times New Roman" w:hAnsi="Times New Roman"/>
          <w:sz w:val="25"/>
          <w:szCs w:val="25"/>
        </w:rPr>
        <w:t xml:space="preserve"> актив</w:t>
      </w:r>
      <w:r w:rsidR="00D13B03">
        <w:rPr>
          <w:rFonts w:ascii="Times New Roman" w:hAnsi="Times New Roman"/>
          <w:sz w:val="25"/>
          <w:szCs w:val="25"/>
        </w:rPr>
        <w:t>ы</w:t>
      </w:r>
      <w:r w:rsidR="00E549FA">
        <w:rPr>
          <w:rFonts w:ascii="Times New Roman" w:hAnsi="Times New Roman"/>
          <w:sz w:val="25"/>
          <w:szCs w:val="25"/>
        </w:rPr>
        <w:t>.</w:t>
      </w:r>
    </w:p>
    <w:p w14:paraId="684DC5E2" w14:textId="67C5E6F7" w:rsidR="006F7190" w:rsidRDefault="006F7190" w:rsidP="00274F6F">
      <w:pPr>
        <w:spacing w:before="80" w:after="80"/>
        <w:ind w:firstLine="567"/>
        <w:jc w:val="both"/>
        <w:rPr>
          <w:rFonts w:ascii="Times New Roman" w:hAnsi="Times New Roman"/>
          <w:sz w:val="25"/>
          <w:szCs w:val="25"/>
        </w:rPr>
      </w:pPr>
      <w:r>
        <w:rPr>
          <w:rFonts w:ascii="Times New Roman" w:hAnsi="Times New Roman"/>
          <w:sz w:val="25"/>
          <w:szCs w:val="25"/>
        </w:rPr>
        <w:t>4. Как следует из положений с</w:t>
      </w:r>
      <w:r w:rsidRPr="006F7190">
        <w:rPr>
          <w:rFonts w:ascii="Times New Roman" w:hAnsi="Times New Roman"/>
          <w:sz w:val="25"/>
          <w:szCs w:val="25"/>
        </w:rPr>
        <w:t>тать</w:t>
      </w:r>
      <w:r w:rsidR="00E549FA">
        <w:rPr>
          <w:rFonts w:ascii="Times New Roman" w:hAnsi="Times New Roman"/>
          <w:sz w:val="25"/>
          <w:szCs w:val="25"/>
        </w:rPr>
        <w:t>и</w:t>
      </w:r>
      <w:r w:rsidRPr="006F7190">
        <w:rPr>
          <w:rFonts w:ascii="Times New Roman" w:hAnsi="Times New Roman"/>
          <w:sz w:val="25"/>
          <w:szCs w:val="25"/>
        </w:rPr>
        <w:t xml:space="preserve"> 19 </w:t>
      </w:r>
      <w:r>
        <w:rPr>
          <w:rFonts w:ascii="Times New Roman" w:hAnsi="Times New Roman"/>
          <w:sz w:val="25"/>
          <w:szCs w:val="25"/>
        </w:rPr>
        <w:t>проекта закона о краудфандинге</w:t>
      </w:r>
      <w:r w:rsidRPr="006F7190">
        <w:rPr>
          <w:rFonts w:ascii="Times New Roman" w:hAnsi="Times New Roman"/>
          <w:sz w:val="25"/>
          <w:szCs w:val="25"/>
        </w:rPr>
        <w:t xml:space="preserve"> депозитарий</w:t>
      </w:r>
      <w:r>
        <w:rPr>
          <w:rFonts w:ascii="Times New Roman" w:hAnsi="Times New Roman"/>
          <w:sz w:val="25"/>
          <w:szCs w:val="25"/>
        </w:rPr>
        <w:t xml:space="preserve"> наделяется</w:t>
      </w:r>
      <w:r w:rsidRPr="006F7190">
        <w:rPr>
          <w:rFonts w:ascii="Times New Roman" w:hAnsi="Times New Roman"/>
          <w:sz w:val="25"/>
          <w:szCs w:val="25"/>
        </w:rPr>
        <w:t xml:space="preserve"> избыточными полномочиями по контролю</w:t>
      </w:r>
      <w:r w:rsidR="002F53A8">
        <w:rPr>
          <w:rFonts w:ascii="Times New Roman" w:hAnsi="Times New Roman"/>
          <w:sz w:val="25"/>
          <w:szCs w:val="25"/>
        </w:rPr>
        <w:t xml:space="preserve"> за </w:t>
      </w:r>
      <w:r w:rsidR="00FD3849">
        <w:rPr>
          <w:rFonts w:ascii="Times New Roman" w:hAnsi="Times New Roman"/>
          <w:sz w:val="25"/>
          <w:szCs w:val="25"/>
        </w:rPr>
        <w:t>возможностью</w:t>
      </w:r>
      <w:r w:rsidR="00FD3849" w:rsidRPr="006F7190">
        <w:rPr>
          <w:rFonts w:ascii="Times New Roman" w:hAnsi="Times New Roman"/>
          <w:sz w:val="25"/>
          <w:szCs w:val="25"/>
        </w:rPr>
        <w:t xml:space="preserve"> внесения</w:t>
      </w:r>
      <w:r w:rsidRPr="006F7190">
        <w:rPr>
          <w:rFonts w:ascii="Times New Roman" w:hAnsi="Times New Roman"/>
          <w:sz w:val="25"/>
          <w:szCs w:val="25"/>
        </w:rPr>
        <w:t xml:space="preserve"> любой информации о переходе цифровых прав</w:t>
      </w:r>
      <w:r w:rsidR="00AC7B26">
        <w:rPr>
          <w:rFonts w:ascii="Times New Roman" w:hAnsi="Times New Roman"/>
          <w:sz w:val="25"/>
          <w:szCs w:val="25"/>
        </w:rPr>
        <w:t>, а именно</w:t>
      </w:r>
      <w:r w:rsidR="00E549FA">
        <w:rPr>
          <w:rFonts w:ascii="Times New Roman" w:hAnsi="Times New Roman"/>
          <w:sz w:val="25"/>
          <w:szCs w:val="25"/>
        </w:rPr>
        <w:t>:</w:t>
      </w:r>
      <w:r w:rsidR="00AC7B26">
        <w:rPr>
          <w:rFonts w:ascii="Times New Roman" w:hAnsi="Times New Roman"/>
          <w:sz w:val="25"/>
          <w:szCs w:val="25"/>
        </w:rPr>
        <w:t xml:space="preserve"> ограничивает возможност</w:t>
      </w:r>
      <w:r w:rsidR="009D2778">
        <w:rPr>
          <w:rFonts w:ascii="Times New Roman" w:hAnsi="Times New Roman"/>
          <w:sz w:val="25"/>
          <w:szCs w:val="25"/>
        </w:rPr>
        <w:t>ь приобретения цифровых прав, п</w:t>
      </w:r>
      <w:r w:rsidR="00AC7B26">
        <w:rPr>
          <w:rFonts w:ascii="Times New Roman" w:hAnsi="Times New Roman"/>
          <w:sz w:val="25"/>
          <w:szCs w:val="25"/>
        </w:rPr>
        <w:t>р</w:t>
      </w:r>
      <w:r w:rsidR="009D2778">
        <w:rPr>
          <w:rFonts w:ascii="Times New Roman" w:hAnsi="Times New Roman"/>
          <w:sz w:val="25"/>
          <w:szCs w:val="25"/>
        </w:rPr>
        <w:t>ев</w:t>
      </w:r>
      <w:r w:rsidR="00AC7B26">
        <w:rPr>
          <w:rFonts w:ascii="Times New Roman" w:hAnsi="Times New Roman"/>
          <w:sz w:val="25"/>
          <w:szCs w:val="25"/>
        </w:rPr>
        <w:t>ышающих количес</w:t>
      </w:r>
      <w:r w:rsidR="009D2778">
        <w:rPr>
          <w:rFonts w:ascii="Times New Roman" w:hAnsi="Times New Roman"/>
          <w:sz w:val="25"/>
          <w:szCs w:val="25"/>
        </w:rPr>
        <w:t xml:space="preserve">тво цифровых прав, </w:t>
      </w:r>
      <w:r w:rsidR="009D2778">
        <w:rPr>
          <w:rFonts w:ascii="Times New Roman" w:hAnsi="Times New Roman"/>
          <w:sz w:val="25"/>
          <w:szCs w:val="25"/>
        </w:rPr>
        <w:lastRenderedPageBreak/>
        <w:t>которыми может распоряжаться депозитарий с помощью электронного ключа</w:t>
      </w:r>
      <w:r w:rsidRPr="006F7190">
        <w:rPr>
          <w:rFonts w:ascii="Times New Roman" w:hAnsi="Times New Roman"/>
          <w:sz w:val="25"/>
          <w:szCs w:val="25"/>
        </w:rPr>
        <w:t>. Таким образом, вне зависимости от архитектуры системы, направленной на обеспечение технической защиты инвесторов депозитарий вправе в любой момент внести любые изменения относительно информации о принадлежности цифровых прав конкретному лицу</w:t>
      </w:r>
      <w:r w:rsidR="00A76E84" w:rsidRPr="00A76E84">
        <w:rPr>
          <w:rFonts w:ascii="Times New Roman" w:hAnsi="Times New Roman"/>
          <w:sz w:val="25"/>
          <w:szCs w:val="25"/>
        </w:rPr>
        <w:t>. Данная норма в отсутствие определенных механизмов и</w:t>
      </w:r>
      <w:r w:rsidR="00A76E84">
        <w:rPr>
          <w:rFonts w:ascii="Times New Roman" w:hAnsi="Times New Roman"/>
          <w:sz w:val="25"/>
          <w:szCs w:val="25"/>
        </w:rPr>
        <w:t xml:space="preserve"> </w:t>
      </w:r>
      <w:r w:rsidR="00A76E84" w:rsidRPr="00A76E84">
        <w:rPr>
          <w:rFonts w:ascii="Times New Roman" w:hAnsi="Times New Roman"/>
          <w:sz w:val="25"/>
          <w:szCs w:val="25"/>
        </w:rPr>
        <w:t>установленного порядка, ограничивающего возможности депозитария произвольно</w:t>
      </w:r>
      <w:r w:rsidR="00A76E84">
        <w:rPr>
          <w:rFonts w:ascii="Times New Roman" w:hAnsi="Times New Roman"/>
          <w:sz w:val="25"/>
          <w:szCs w:val="25"/>
        </w:rPr>
        <w:t xml:space="preserve"> </w:t>
      </w:r>
      <w:r w:rsidR="00A76E84" w:rsidRPr="00A76E84">
        <w:rPr>
          <w:rFonts w:ascii="Times New Roman" w:hAnsi="Times New Roman"/>
          <w:sz w:val="25"/>
          <w:szCs w:val="25"/>
        </w:rPr>
        <w:t>вносить соответствующие изменения в сведения о владельцах цифровых прав, по</w:t>
      </w:r>
      <w:r w:rsidR="00A76E84">
        <w:rPr>
          <w:rFonts w:ascii="Times New Roman" w:hAnsi="Times New Roman"/>
          <w:sz w:val="25"/>
          <w:szCs w:val="25"/>
        </w:rPr>
        <w:t xml:space="preserve"> - </w:t>
      </w:r>
      <w:r w:rsidR="00A76E84" w:rsidRPr="00A76E84">
        <w:rPr>
          <w:rFonts w:ascii="Times New Roman" w:hAnsi="Times New Roman"/>
          <w:sz w:val="25"/>
          <w:szCs w:val="25"/>
        </w:rPr>
        <w:t>мнению Комиссии,</w:t>
      </w:r>
      <w:r w:rsidR="00A76E84">
        <w:rPr>
          <w:rFonts w:ascii="Times New Roman" w:hAnsi="Times New Roman"/>
          <w:sz w:val="25"/>
          <w:szCs w:val="25"/>
        </w:rPr>
        <w:t xml:space="preserve"> </w:t>
      </w:r>
      <w:r w:rsidR="00A76E84" w:rsidRPr="00A76E84">
        <w:rPr>
          <w:rFonts w:ascii="Times New Roman" w:hAnsi="Times New Roman"/>
          <w:sz w:val="25"/>
          <w:szCs w:val="25"/>
        </w:rPr>
        <w:t>может привести к</w:t>
      </w:r>
      <w:r w:rsidR="00A76E84">
        <w:rPr>
          <w:rFonts w:ascii="Times New Roman" w:hAnsi="Times New Roman"/>
          <w:sz w:val="25"/>
          <w:szCs w:val="25"/>
        </w:rPr>
        <w:t xml:space="preserve"> </w:t>
      </w:r>
      <w:r w:rsidR="00A76E84" w:rsidRPr="00A76E84">
        <w:rPr>
          <w:rFonts w:ascii="Times New Roman" w:hAnsi="Times New Roman"/>
          <w:sz w:val="25"/>
          <w:szCs w:val="25"/>
        </w:rPr>
        <w:t>нарушению прав обладателей соответствующих цифровых активов и дестабилизации</w:t>
      </w:r>
      <w:r w:rsidR="00A76E84">
        <w:rPr>
          <w:rFonts w:ascii="Times New Roman" w:hAnsi="Times New Roman"/>
          <w:sz w:val="25"/>
          <w:szCs w:val="25"/>
        </w:rPr>
        <w:t xml:space="preserve"> </w:t>
      </w:r>
      <w:r w:rsidR="00A76E84" w:rsidRPr="00A76E84">
        <w:rPr>
          <w:rFonts w:ascii="Times New Roman" w:hAnsi="Times New Roman"/>
          <w:sz w:val="25"/>
          <w:szCs w:val="25"/>
        </w:rPr>
        <w:t xml:space="preserve">их оборота. </w:t>
      </w:r>
      <w:r w:rsidR="00D13B03">
        <w:rPr>
          <w:rFonts w:ascii="Times New Roman" w:hAnsi="Times New Roman"/>
          <w:sz w:val="25"/>
          <w:szCs w:val="25"/>
        </w:rPr>
        <w:t>Данный риск можно рассматривать как обособлено, так и с учетом п. 1 настоящего раздела.</w:t>
      </w:r>
    </w:p>
    <w:p w14:paraId="38AB6B4B" w14:textId="498366BA" w:rsidR="00FD5FCA" w:rsidRPr="00D40CEF" w:rsidRDefault="008C276E" w:rsidP="00D40CEF">
      <w:pPr>
        <w:spacing w:before="80" w:after="80"/>
        <w:ind w:firstLine="567"/>
        <w:jc w:val="both"/>
        <w:rPr>
          <w:rFonts w:ascii="Times New Roman" w:hAnsi="Times New Roman"/>
          <w:sz w:val="25"/>
          <w:szCs w:val="25"/>
        </w:rPr>
      </w:pPr>
      <w:r>
        <w:rPr>
          <w:rFonts w:ascii="Times New Roman" w:hAnsi="Times New Roman"/>
          <w:sz w:val="25"/>
          <w:szCs w:val="25"/>
        </w:rPr>
        <w:t>5</w:t>
      </w:r>
      <w:r w:rsidR="00FD5FCA">
        <w:rPr>
          <w:rFonts w:ascii="Times New Roman" w:hAnsi="Times New Roman"/>
          <w:sz w:val="25"/>
          <w:szCs w:val="25"/>
        </w:rPr>
        <w:t xml:space="preserve">. Проект закона о краудфандинге </w:t>
      </w:r>
      <w:r w:rsidR="00533104">
        <w:rPr>
          <w:rFonts w:ascii="Times New Roman" w:hAnsi="Times New Roman"/>
          <w:sz w:val="25"/>
          <w:szCs w:val="25"/>
        </w:rPr>
        <w:t>(</w:t>
      </w:r>
      <w:r w:rsidR="006B5845">
        <w:rPr>
          <w:rFonts w:ascii="Times New Roman" w:hAnsi="Times New Roman"/>
          <w:sz w:val="25"/>
          <w:szCs w:val="25"/>
        </w:rPr>
        <w:t xml:space="preserve">п. 6 </w:t>
      </w:r>
      <w:r w:rsidR="00533104">
        <w:rPr>
          <w:rFonts w:ascii="Times New Roman" w:hAnsi="Times New Roman"/>
          <w:sz w:val="25"/>
          <w:szCs w:val="25"/>
        </w:rPr>
        <w:t>стать</w:t>
      </w:r>
      <w:r w:rsidR="006B5845">
        <w:rPr>
          <w:rFonts w:ascii="Times New Roman" w:hAnsi="Times New Roman"/>
          <w:sz w:val="25"/>
          <w:szCs w:val="25"/>
        </w:rPr>
        <w:t>и</w:t>
      </w:r>
      <w:r w:rsidR="00533104">
        <w:rPr>
          <w:rFonts w:ascii="Times New Roman" w:hAnsi="Times New Roman"/>
          <w:sz w:val="25"/>
          <w:szCs w:val="25"/>
        </w:rPr>
        <w:t xml:space="preserve"> 5) </w:t>
      </w:r>
      <w:r w:rsidR="00FD5FCA">
        <w:rPr>
          <w:rFonts w:ascii="Times New Roman" w:hAnsi="Times New Roman"/>
          <w:sz w:val="25"/>
          <w:szCs w:val="25"/>
        </w:rPr>
        <w:t>содержит обязанность оператора осуществлять контроль за действиями инвесторов и лица, привлекающего инвестиции</w:t>
      </w:r>
      <w:r w:rsidR="00533104">
        <w:rPr>
          <w:rFonts w:ascii="Times New Roman" w:hAnsi="Times New Roman"/>
          <w:sz w:val="25"/>
          <w:szCs w:val="25"/>
        </w:rPr>
        <w:t xml:space="preserve"> в рамках платформы такого оператора</w:t>
      </w:r>
      <w:r w:rsidR="00FD5FCA">
        <w:rPr>
          <w:rFonts w:ascii="Times New Roman" w:hAnsi="Times New Roman"/>
          <w:sz w:val="25"/>
          <w:szCs w:val="25"/>
        </w:rPr>
        <w:t>, однако порядок осуществления такого контроля и алгоритм действий, которые должен</w:t>
      </w:r>
      <w:r w:rsidR="00D13B03">
        <w:rPr>
          <w:rFonts w:ascii="Times New Roman" w:hAnsi="Times New Roman"/>
          <w:sz w:val="25"/>
          <w:szCs w:val="25"/>
        </w:rPr>
        <w:t xml:space="preserve"> и может</w:t>
      </w:r>
      <w:r w:rsidR="00FD5FCA">
        <w:rPr>
          <w:rFonts w:ascii="Times New Roman" w:hAnsi="Times New Roman"/>
          <w:sz w:val="25"/>
          <w:szCs w:val="25"/>
        </w:rPr>
        <w:t xml:space="preserve"> осуществить оператор, после выявления нарушений отсутствует. </w:t>
      </w:r>
      <w:r w:rsidR="00D13B03">
        <w:rPr>
          <w:rFonts w:ascii="Times New Roman" w:hAnsi="Times New Roman"/>
          <w:sz w:val="25"/>
          <w:szCs w:val="25"/>
        </w:rPr>
        <w:t>Таким образом, следует</w:t>
      </w:r>
      <w:r w:rsidR="00FD5FCA">
        <w:rPr>
          <w:rFonts w:ascii="Times New Roman" w:hAnsi="Times New Roman"/>
          <w:sz w:val="25"/>
          <w:szCs w:val="25"/>
        </w:rPr>
        <w:t xml:space="preserve"> определить круг полномочий оператора.</w:t>
      </w:r>
    </w:p>
    <w:p w14:paraId="1F7A9602" w14:textId="77777777" w:rsidR="00D7697A" w:rsidRDefault="008C276E" w:rsidP="00D7697A">
      <w:pPr>
        <w:spacing w:before="80" w:after="80"/>
        <w:ind w:firstLine="567"/>
        <w:jc w:val="both"/>
        <w:rPr>
          <w:rFonts w:ascii="Times New Roman" w:hAnsi="Times New Roman"/>
          <w:sz w:val="25"/>
          <w:szCs w:val="25"/>
        </w:rPr>
      </w:pPr>
      <w:r>
        <w:rPr>
          <w:rFonts w:ascii="Times New Roman" w:hAnsi="Times New Roman"/>
          <w:sz w:val="25"/>
          <w:szCs w:val="25"/>
        </w:rPr>
        <w:t>6</w:t>
      </w:r>
      <w:r w:rsidR="00533104">
        <w:rPr>
          <w:rFonts w:ascii="Times New Roman" w:hAnsi="Times New Roman"/>
          <w:sz w:val="25"/>
          <w:szCs w:val="25"/>
        </w:rPr>
        <w:t xml:space="preserve">. </w:t>
      </w:r>
      <w:r w:rsidR="00D7697A">
        <w:rPr>
          <w:rFonts w:ascii="Times New Roman" w:hAnsi="Times New Roman"/>
          <w:sz w:val="25"/>
          <w:szCs w:val="25"/>
        </w:rPr>
        <w:t>С</w:t>
      </w:r>
      <w:r w:rsidR="00D7697A" w:rsidRPr="00C56ABF">
        <w:rPr>
          <w:rFonts w:ascii="Times New Roman" w:hAnsi="Times New Roman"/>
          <w:sz w:val="25"/>
          <w:szCs w:val="25"/>
        </w:rPr>
        <w:t>огласно пункту 7 ст. 5 проекта закона о краудфандинге возникновение, переход и прекращение цифровых прав утилитарного назначения осуществляется с использованием информационных технологий инвестиционной платформы. С таким подходом нельзя согласиться, поскольку такая формулировка может быть истолкована как необходимость совмещения функций инвестиционной платформы и оператора информационной системы, в которой происходит выпуск цифровых прав (цифровых прав утилитарного назначения). Это налагает на инвестиционные платформы совершенно несвойственные им функции.</w:t>
      </w:r>
    </w:p>
    <w:p w14:paraId="3199C86B" w14:textId="07912268" w:rsidR="00124655" w:rsidRDefault="004D59B0" w:rsidP="00D76F6F">
      <w:pPr>
        <w:spacing w:before="80" w:after="80"/>
        <w:ind w:firstLine="567"/>
        <w:jc w:val="both"/>
        <w:rPr>
          <w:rFonts w:ascii="Times New Roman" w:hAnsi="Times New Roman"/>
          <w:sz w:val="25"/>
          <w:szCs w:val="25"/>
        </w:rPr>
      </w:pPr>
      <w:r>
        <w:rPr>
          <w:rFonts w:ascii="Times New Roman" w:hAnsi="Times New Roman"/>
          <w:sz w:val="25"/>
          <w:szCs w:val="25"/>
        </w:rPr>
        <w:t xml:space="preserve">7. </w:t>
      </w:r>
      <w:r w:rsidR="00533104">
        <w:rPr>
          <w:rFonts w:ascii="Times New Roman" w:hAnsi="Times New Roman"/>
          <w:sz w:val="25"/>
          <w:szCs w:val="25"/>
        </w:rPr>
        <w:t>Проект закона о краудфандинге (</w:t>
      </w:r>
      <w:r w:rsidR="006B5845">
        <w:rPr>
          <w:rFonts w:ascii="Times New Roman" w:hAnsi="Times New Roman"/>
          <w:sz w:val="25"/>
          <w:szCs w:val="25"/>
        </w:rPr>
        <w:t xml:space="preserve">п. 4 </w:t>
      </w:r>
      <w:r w:rsidR="00533104">
        <w:rPr>
          <w:rFonts w:ascii="Times New Roman" w:hAnsi="Times New Roman"/>
          <w:sz w:val="25"/>
          <w:szCs w:val="25"/>
        </w:rPr>
        <w:t>стать</w:t>
      </w:r>
      <w:r w:rsidR="006B5845">
        <w:rPr>
          <w:rFonts w:ascii="Times New Roman" w:hAnsi="Times New Roman"/>
          <w:sz w:val="25"/>
          <w:szCs w:val="25"/>
        </w:rPr>
        <w:t>и</w:t>
      </w:r>
      <w:r w:rsidR="00533104">
        <w:rPr>
          <w:rFonts w:ascii="Times New Roman" w:hAnsi="Times New Roman"/>
          <w:sz w:val="25"/>
          <w:szCs w:val="25"/>
        </w:rPr>
        <w:t xml:space="preserve"> 10) предполагает, что возврат избыточных средств будет осуществлен лицом, привлекающим инвестиции, </w:t>
      </w:r>
      <w:r w:rsidR="00D76F6F">
        <w:rPr>
          <w:rFonts w:ascii="Times New Roman" w:hAnsi="Times New Roman"/>
          <w:sz w:val="25"/>
          <w:szCs w:val="25"/>
        </w:rPr>
        <w:t>но</w:t>
      </w:r>
      <w:r w:rsidR="00533104">
        <w:rPr>
          <w:rFonts w:ascii="Times New Roman" w:hAnsi="Times New Roman"/>
          <w:sz w:val="25"/>
          <w:szCs w:val="25"/>
        </w:rPr>
        <w:t xml:space="preserve"> в целях </w:t>
      </w:r>
      <w:r w:rsidR="00E549FA">
        <w:rPr>
          <w:rFonts w:ascii="Times New Roman" w:hAnsi="Times New Roman"/>
          <w:sz w:val="25"/>
          <w:szCs w:val="25"/>
        </w:rPr>
        <w:t xml:space="preserve">лучшей </w:t>
      </w:r>
      <w:r w:rsidR="00533104">
        <w:rPr>
          <w:rFonts w:ascii="Times New Roman" w:hAnsi="Times New Roman"/>
          <w:sz w:val="25"/>
          <w:szCs w:val="25"/>
        </w:rPr>
        <w:t>защиты интересов инвесторов</w:t>
      </w:r>
      <w:r w:rsidR="00E549FA">
        <w:rPr>
          <w:rFonts w:ascii="Times New Roman" w:hAnsi="Times New Roman"/>
          <w:sz w:val="25"/>
          <w:szCs w:val="25"/>
        </w:rPr>
        <w:t>, представляется, что</w:t>
      </w:r>
      <w:r w:rsidR="00533104">
        <w:rPr>
          <w:rFonts w:ascii="Times New Roman" w:hAnsi="Times New Roman"/>
          <w:sz w:val="25"/>
          <w:szCs w:val="25"/>
        </w:rPr>
        <w:t xml:space="preserve"> такой возврат должен осуществлять опер</w:t>
      </w:r>
      <w:r w:rsidR="00E549FA">
        <w:rPr>
          <w:rFonts w:ascii="Times New Roman" w:hAnsi="Times New Roman"/>
          <w:sz w:val="25"/>
          <w:szCs w:val="25"/>
        </w:rPr>
        <w:t>а</w:t>
      </w:r>
      <w:r w:rsidR="00533104">
        <w:rPr>
          <w:rFonts w:ascii="Times New Roman" w:hAnsi="Times New Roman"/>
          <w:sz w:val="25"/>
          <w:szCs w:val="25"/>
        </w:rPr>
        <w:t>тор платформы</w:t>
      </w:r>
      <w:r w:rsidR="00E549FA">
        <w:rPr>
          <w:rFonts w:ascii="Times New Roman" w:hAnsi="Times New Roman"/>
          <w:sz w:val="25"/>
          <w:szCs w:val="25"/>
        </w:rPr>
        <w:t>,</w:t>
      </w:r>
      <w:r w:rsidR="00533104">
        <w:rPr>
          <w:rFonts w:ascii="Times New Roman" w:hAnsi="Times New Roman"/>
          <w:sz w:val="25"/>
          <w:szCs w:val="25"/>
        </w:rPr>
        <w:t xml:space="preserve"> на чьих счетах находятся денежные средства</w:t>
      </w:r>
      <w:r w:rsidR="00D76F6F">
        <w:rPr>
          <w:rFonts w:ascii="Times New Roman" w:hAnsi="Times New Roman"/>
          <w:sz w:val="25"/>
          <w:szCs w:val="25"/>
        </w:rPr>
        <w:t xml:space="preserve"> либо функции такого контроля</w:t>
      </w:r>
      <w:r w:rsidR="00D76F6F" w:rsidRPr="00D76F6F">
        <w:rPr>
          <w:rFonts w:ascii="Times New Roman" w:hAnsi="Times New Roman"/>
          <w:sz w:val="25"/>
          <w:szCs w:val="25"/>
        </w:rPr>
        <w:t xml:space="preserve"> </w:t>
      </w:r>
      <w:r w:rsidR="00D76F6F">
        <w:rPr>
          <w:rFonts w:ascii="Times New Roman" w:hAnsi="Times New Roman"/>
          <w:sz w:val="25"/>
          <w:szCs w:val="25"/>
        </w:rPr>
        <w:t>могут быть возложены на обоих.</w:t>
      </w:r>
    </w:p>
    <w:p w14:paraId="3BB46990" w14:textId="383DAE0E" w:rsidR="003D517F" w:rsidRDefault="008C276E" w:rsidP="001E5EF1">
      <w:pPr>
        <w:spacing w:before="80" w:after="80"/>
        <w:ind w:firstLine="567"/>
        <w:jc w:val="both"/>
        <w:rPr>
          <w:rFonts w:ascii="Times New Roman" w:hAnsi="Times New Roman"/>
          <w:sz w:val="25"/>
          <w:szCs w:val="25"/>
        </w:rPr>
      </w:pPr>
      <w:r>
        <w:rPr>
          <w:rFonts w:ascii="Times New Roman" w:hAnsi="Times New Roman"/>
          <w:sz w:val="25"/>
          <w:szCs w:val="25"/>
        </w:rPr>
        <w:t>7</w:t>
      </w:r>
      <w:r w:rsidR="003D517F">
        <w:rPr>
          <w:rFonts w:ascii="Times New Roman" w:hAnsi="Times New Roman"/>
          <w:sz w:val="25"/>
          <w:szCs w:val="25"/>
        </w:rPr>
        <w:t>. Проект закона о краудфандинге (</w:t>
      </w:r>
      <w:r w:rsidR="00E549FA">
        <w:rPr>
          <w:rFonts w:ascii="Times New Roman" w:hAnsi="Times New Roman"/>
          <w:sz w:val="25"/>
          <w:szCs w:val="25"/>
        </w:rPr>
        <w:t xml:space="preserve">п. 1 ст. </w:t>
      </w:r>
      <w:r w:rsidR="003D517F">
        <w:rPr>
          <w:rFonts w:ascii="Times New Roman" w:hAnsi="Times New Roman"/>
          <w:sz w:val="25"/>
          <w:szCs w:val="25"/>
        </w:rPr>
        <w:t xml:space="preserve">11) </w:t>
      </w:r>
      <w:r w:rsidR="00E549FA">
        <w:rPr>
          <w:rFonts w:ascii="Times New Roman" w:hAnsi="Times New Roman"/>
          <w:sz w:val="25"/>
          <w:szCs w:val="25"/>
        </w:rPr>
        <w:t>предусматривает</w:t>
      </w:r>
      <w:r w:rsidR="003D517F">
        <w:rPr>
          <w:rFonts w:ascii="Times New Roman" w:hAnsi="Times New Roman"/>
          <w:sz w:val="25"/>
          <w:szCs w:val="25"/>
        </w:rPr>
        <w:t>, что лица</w:t>
      </w:r>
      <w:r w:rsidR="00E549FA">
        <w:rPr>
          <w:rFonts w:ascii="Times New Roman" w:hAnsi="Times New Roman"/>
          <w:sz w:val="25"/>
          <w:szCs w:val="25"/>
        </w:rPr>
        <w:t>,</w:t>
      </w:r>
      <w:r w:rsidR="003D517F">
        <w:rPr>
          <w:rFonts w:ascii="Times New Roman" w:hAnsi="Times New Roman"/>
          <w:sz w:val="25"/>
          <w:szCs w:val="25"/>
        </w:rPr>
        <w:t xml:space="preserve"> в отношении которых было подано заявление о признании их банкротом</w:t>
      </w:r>
      <w:r w:rsidR="00E549FA">
        <w:rPr>
          <w:rFonts w:ascii="Times New Roman" w:hAnsi="Times New Roman"/>
          <w:sz w:val="25"/>
          <w:szCs w:val="25"/>
        </w:rPr>
        <w:t>,</w:t>
      </w:r>
      <w:r w:rsidR="003D517F">
        <w:rPr>
          <w:rFonts w:ascii="Times New Roman" w:hAnsi="Times New Roman"/>
          <w:sz w:val="25"/>
          <w:szCs w:val="25"/>
        </w:rPr>
        <w:t xml:space="preserve"> не вправе привлекать инвестиции. Данное положение создает базу для злоупотреблений</w:t>
      </w:r>
      <w:r w:rsidR="00706208">
        <w:rPr>
          <w:rFonts w:ascii="Times New Roman" w:hAnsi="Times New Roman"/>
          <w:sz w:val="25"/>
          <w:szCs w:val="25"/>
        </w:rPr>
        <w:t xml:space="preserve"> и недобросовестной конкуренции</w:t>
      </w:r>
      <w:r w:rsidR="003D517F">
        <w:rPr>
          <w:rFonts w:ascii="Times New Roman" w:hAnsi="Times New Roman"/>
          <w:sz w:val="25"/>
          <w:szCs w:val="25"/>
        </w:rPr>
        <w:t xml:space="preserve">, так как такое заявление может быть подано любым лицом вне зависимости от </w:t>
      </w:r>
      <w:r w:rsidR="00935867">
        <w:rPr>
          <w:rFonts w:ascii="Times New Roman" w:hAnsi="Times New Roman"/>
          <w:sz w:val="25"/>
          <w:szCs w:val="25"/>
        </w:rPr>
        <w:t>его обоснованности</w:t>
      </w:r>
      <w:r w:rsidR="003D517F">
        <w:rPr>
          <w:rFonts w:ascii="Times New Roman" w:hAnsi="Times New Roman"/>
          <w:sz w:val="25"/>
          <w:szCs w:val="25"/>
        </w:rPr>
        <w:t>. Предлагается уточнить</w:t>
      </w:r>
      <w:r w:rsidR="00935867">
        <w:rPr>
          <w:rFonts w:ascii="Times New Roman" w:hAnsi="Times New Roman"/>
          <w:sz w:val="25"/>
          <w:szCs w:val="25"/>
        </w:rPr>
        <w:t xml:space="preserve"> рассматриваемую норму</w:t>
      </w:r>
      <w:r w:rsidR="003D517F">
        <w:rPr>
          <w:rFonts w:ascii="Times New Roman" w:hAnsi="Times New Roman"/>
          <w:sz w:val="25"/>
          <w:szCs w:val="25"/>
        </w:rPr>
        <w:t>: привлекать инвестиции не вправе лица</w:t>
      </w:r>
      <w:r w:rsidR="00941845">
        <w:rPr>
          <w:rFonts w:ascii="Times New Roman" w:hAnsi="Times New Roman"/>
          <w:sz w:val="25"/>
          <w:szCs w:val="25"/>
        </w:rPr>
        <w:t>,</w:t>
      </w:r>
      <w:r w:rsidR="003D517F">
        <w:rPr>
          <w:rFonts w:ascii="Times New Roman" w:hAnsi="Times New Roman"/>
          <w:sz w:val="25"/>
          <w:szCs w:val="25"/>
        </w:rPr>
        <w:t xml:space="preserve"> </w:t>
      </w:r>
      <w:r w:rsidR="003D517F" w:rsidRPr="002D58EF">
        <w:rPr>
          <w:rFonts w:ascii="Times New Roman" w:hAnsi="Times New Roman"/>
          <w:sz w:val="25"/>
          <w:szCs w:val="25"/>
        </w:rPr>
        <w:t xml:space="preserve">в отношении которых арбитражным судом было </w:t>
      </w:r>
      <w:r w:rsidR="002D58EF" w:rsidRPr="002D58EF">
        <w:rPr>
          <w:rFonts w:ascii="Times New Roman" w:hAnsi="Times New Roman"/>
          <w:sz w:val="25"/>
          <w:szCs w:val="25"/>
        </w:rPr>
        <w:t>вынесено</w:t>
      </w:r>
      <w:r w:rsidR="003D517F" w:rsidRPr="002D58EF">
        <w:rPr>
          <w:rFonts w:ascii="Times New Roman" w:hAnsi="Times New Roman"/>
          <w:sz w:val="25"/>
          <w:szCs w:val="25"/>
        </w:rPr>
        <w:t xml:space="preserve"> определени</w:t>
      </w:r>
      <w:r w:rsidR="002D58EF" w:rsidRPr="002D58EF">
        <w:rPr>
          <w:rFonts w:ascii="Times New Roman" w:hAnsi="Times New Roman"/>
          <w:sz w:val="25"/>
          <w:szCs w:val="25"/>
        </w:rPr>
        <w:t>е</w:t>
      </w:r>
      <w:r w:rsidR="003D517F" w:rsidRPr="002D58EF">
        <w:rPr>
          <w:rFonts w:ascii="Times New Roman" w:hAnsi="Times New Roman"/>
          <w:sz w:val="25"/>
          <w:szCs w:val="25"/>
        </w:rPr>
        <w:t xml:space="preserve"> </w:t>
      </w:r>
      <w:r w:rsidR="00E549FA">
        <w:rPr>
          <w:rFonts w:ascii="Times New Roman" w:hAnsi="Times New Roman"/>
          <w:sz w:val="25"/>
          <w:szCs w:val="25"/>
        </w:rPr>
        <w:t xml:space="preserve">о </w:t>
      </w:r>
      <w:r w:rsidR="002D58EF" w:rsidRPr="002D58EF">
        <w:rPr>
          <w:rFonts w:ascii="Times New Roman" w:hAnsi="Times New Roman"/>
          <w:sz w:val="25"/>
          <w:szCs w:val="25"/>
        </w:rPr>
        <w:t>введении процедуры наблюдения</w:t>
      </w:r>
      <w:r w:rsidR="00935867">
        <w:rPr>
          <w:rFonts w:ascii="Times New Roman" w:hAnsi="Times New Roman"/>
          <w:sz w:val="25"/>
          <w:szCs w:val="25"/>
        </w:rPr>
        <w:t xml:space="preserve"> или внешнего </w:t>
      </w:r>
      <w:r w:rsidR="006D02F1">
        <w:rPr>
          <w:rFonts w:ascii="Times New Roman" w:hAnsi="Times New Roman"/>
          <w:sz w:val="25"/>
          <w:szCs w:val="25"/>
        </w:rPr>
        <w:t>управления,</w:t>
      </w:r>
      <w:r w:rsidR="002D58EF" w:rsidRPr="002D58EF">
        <w:rPr>
          <w:rFonts w:ascii="Times New Roman" w:hAnsi="Times New Roman"/>
          <w:sz w:val="25"/>
          <w:szCs w:val="25"/>
        </w:rPr>
        <w:t xml:space="preserve"> или конкурного производства</w:t>
      </w:r>
      <w:r w:rsidR="003D517F" w:rsidRPr="002D58EF">
        <w:rPr>
          <w:rFonts w:ascii="Times New Roman" w:hAnsi="Times New Roman"/>
          <w:sz w:val="25"/>
          <w:szCs w:val="25"/>
        </w:rPr>
        <w:t>.</w:t>
      </w:r>
    </w:p>
    <w:p w14:paraId="5C1CBFC2" w14:textId="77777777" w:rsidR="003D517F" w:rsidRDefault="003D517F" w:rsidP="001E5EF1">
      <w:pPr>
        <w:spacing w:before="80" w:after="80"/>
        <w:ind w:firstLine="567"/>
        <w:jc w:val="both"/>
        <w:rPr>
          <w:rFonts w:ascii="Times New Roman" w:hAnsi="Times New Roman"/>
          <w:sz w:val="25"/>
          <w:szCs w:val="25"/>
        </w:rPr>
      </w:pPr>
    </w:p>
    <w:p w14:paraId="209DCDBA" w14:textId="77777777" w:rsidR="00CB3A89" w:rsidRDefault="00CB3A89" w:rsidP="001E5EF1">
      <w:pPr>
        <w:spacing w:before="80" w:after="80"/>
        <w:ind w:firstLine="567"/>
        <w:jc w:val="both"/>
        <w:rPr>
          <w:rFonts w:ascii="Times New Roman" w:hAnsi="Times New Roman"/>
          <w:sz w:val="25"/>
          <w:szCs w:val="25"/>
        </w:rPr>
      </w:pPr>
    </w:p>
    <w:p w14:paraId="60EA1D5A" w14:textId="77777777" w:rsidR="00CB3A89" w:rsidRPr="00A97736" w:rsidRDefault="00CB3A89" w:rsidP="001E5EF1">
      <w:pPr>
        <w:spacing w:before="80" w:after="80"/>
        <w:ind w:firstLine="567"/>
        <w:jc w:val="both"/>
        <w:rPr>
          <w:rFonts w:ascii="Times New Roman" w:hAnsi="Times New Roman"/>
          <w:sz w:val="25"/>
          <w:szCs w:val="25"/>
        </w:rPr>
      </w:pPr>
    </w:p>
    <w:p w14:paraId="1F539743" w14:textId="3939F665" w:rsidR="008F5F38" w:rsidRPr="0059527A" w:rsidRDefault="0092495C" w:rsidP="004E13DA">
      <w:pPr>
        <w:pStyle w:val="a3"/>
        <w:spacing w:before="80" w:after="80" w:line="256" w:lineRule="auto"/>
        <w:ind w:left="0" w:firstLine="567"/>
        <w:jc w:val="center"/>
        <w:rPr>
          <w:rFonts w:ascii="Times New Roman" w:hAnsi="Times New Roman"/>
          <w:i/>
          <w:sz w:val="25"/>
          <w:szCs w:val="25"/>
        </w:rPr>
      </w:pPr>
      <w:r>
        <w:rPr>
          <w:rFonts w:ascii="Times New Roman" w:hAnsi="Times New Roman"/>
          <w:i/>
          <w:sz w:val="25"/>
          <w:szCs w:val="25"/>
          <w:lang w:val="en-US"/>
        </w:rPr>
        <w:t>III</w:t>
      </w:r>
    </w:p>
    <w:p w14:paraId="0CC25AE3" w14:textId="467CAC62" w:rsidR="00B429BA" w:rsidRDefault="00B429BA" w:rsidP="004E13DA">
      <w:pPr>
        <w:pStyle w:val="a3"/>
        <w:spacing w:before="80" w:after="80" w:line="256" w:lineRule="auto"/>
        <w:ind w:left="0" w:firstLine="567"/>
        <w:jc w:val="center"/>
        <w:rPr>
          <w:rFonts w:ascii="Times New Roman" w:hAnsi="Times New Roman"/>
          <w:i/>
          <w:sz w:val="25"/>
          <w:szCs w:val="25"/>
        </w:rPr>
      </w:pPr>
      <w:r w:rsidRPr="00B429BA">
        <w:rPr>
          <w:rFonts w:ascii="Times New Roman" w:hAnsi="Times New Roman"/>
          <w:i/>
          <w:sz w:val="25"/>
          <w:szCs w:val="25"/>
        </w:rPr>
        <w:t>Вопросы, связанные с регулятором</w:t>
      </w:r>
      <w:r w:rsidR="0059527A">
        <w:rPr>
          <w:rFonts w:ascii="Times New Roman" w:hAnsi="Times New Roman"/>
          <w:i/>
          <w:sz w:val="25"/>
          <w:szCs w:val="25"/>
        </w:rPr>
        <w:t xml:space="preserve"> рынка цифровых активов</w:t>
      </w:r>
      <w:r w:rsidRPr="00B429BA">
        <w:rPr>
          <w:rFonts w:ascii="Times New Roman" w:hAnsi="Times New Roman"/>
          <w:i/>
          <w:sz w:val="25"/>
          <w:szCs w:val="25"/>
        </w:rPr>
        <w:t xml:space="preserve"> (Банком России)</w:t>
      </w:r>
      <w:r w:rsidR="009928D4">
        <w:rPr>
          <w:rFonts w:ascii="Times New Roman" w:hAnsi="Times New Roman"/>
          <w:i/>
          <w:sz w:val="25"/>
          <w:szCs w:val="25"/>
        </w:rPr>
        <w:t xml:space="preserve"> и сферой действия законов</w:t>
      </w:r>
    </w:p>
    <w:p w14:paraId="6AA08ADE" w14:textId="77777777" w:rsidR="00FA09B7" w:rsidRDefault="00FA09B7" w:rsidP="00B429BA">
      <w:pPr>
        <w:pStyle w:val="a3"/>
        <w:spacing w:before="80" w:after="80" w:line="256" w:lineRule="auto"/>
        <w:ind w:left="0" w:firstLine="567"/>
        <w:jc w:val="both"/>
        <w:rPr>
          <w:rFonts w:ascii="Times New Roman" w:hAnsi="Times New Roman"/>
          <w:i/>
          <w:sz w:val="25"/>
          <w:szCs w:val="25"/>
        </w:rPr>
      </w:pPr>
    </w:p>
    <w:p w14:paraId="2BFC5D09" w14:textId="363FE716" w:rsidR="00FA09B7" w:rsidRPr="00FA09B7" w:rsidRDefault="0059527A" w:rsidP="00FA09B7">
      <w:pPr>
        <w:spacing w:before="80" w:after="80"/>
        <w:ind w:firstLine="567"/>
        <w:jc w:val="both"/>
        <w:rPr>
          <w:rFonts w:ascii="Times New Roman" w:hAnsi="Times New Roman"/>
          <w:sz w:val="25"/>
          <w:szCs w:val="25"/>
        </w:rPr>
      </w:pPr>
      <w:r>
        <w:rPr>
          <w:rFonts w:ascii="Times New Roman" w:hAnsi="Times New Roman"/>
          <w:sz w:val="25"/>
          <w:szCs w:val="25"/>
        </w:rPr>
        <w:t xml:space="preserve">1. </w:t>
      </w:r>
      <w:r w:rsidR="00FA09B7">
        <w:rPr>
          <w:rFonts w:ascii="Times New Roman" w:hAnsi="Times New Roman"/>
          <w:sz w:val="25"/>
          <w:szCs w:val="25"/>
        </w:rPr>
        <w:t xml:space="preserve">В рассматриваемых законопроектах многие положения являются </w:t>
      </w:r>
      <w:r w:rsidR="00865C01">
        <w:rPr>
          <w:rFonts w:ascii="Times New Roman" w:hAnsi="Times New Roman"/>
          <w:sz w:val="25"/>
          <w:szCs w:val="25"/>
        </w:rPr>
        <w:t>отсылочными и</w:t>
      </w:r>
      <w:r w:rsidR="00FA09B7">
        <w:rPr>
          <w:rFonts w:ascii="Times New Roman" w:hAnsi="Times New Roman"/>
          <w:sz w:val="25"/>
          <w:szCs w:val="25"/>
        </w:rPr>
        <w:t xml:space="preserve"> будут впоследствии регулироваться специальными актами, принятыми Банком России</w:t>
      </w:r>
      <w:r w:rsidR="00AF387F">
        <w:rPr>
          <w:rFonts w:ascii="Times New Roman" w:hAnsi="Times New Roman"/>
          <w:sz w:val="25"/>
          <w:szCs w:val="25"/>
        </w:rPr>
        <w:t xml:space="preserve"> -</w:t>
      </w:r>
      <w:r w:rsidR="00FA09B7">
        <w:rPr>
          <w:rFonts w:ascii="Times New Roman" w:hAnsi="Times New Roman"/>
          <w:sz w:val="25"/>
          <w:szCs w:val="25"/>
        </w:rPr>
        <w:t xml:space="preserve"> будущим регулятором рынка </w:t>
      </w:r>
      <w:r w:rsidR="0074181E">
        <w:rPr>
          <w:rFonts w:ascii="Times New Roman" w:hAnsi="Times New Roman"/>
          <w:sz w:val="25"/>
          <w:szCs w:val="25"/>
        </w:rPr>
        <w:t>ЦФА</w:t>
      </w:r>
      <w:r>
        <w:rPr>
          <w:rFonts w:ascii="Times New Roman" w:hAnsi="Times New Roman"/>
          <w:sz w:val="25"/>
          <w:szCs w:val="25"/>
        </w:rPr>
        <w:t>.</w:t>
      </w:r>
      <w:r w:rsidR="00FA09B7">
        <w:rPr>
          <w:rFonts w:ascii="Times New Roman" w:hAnsi="Times New Roman"/>
          <w:sz w:val="25"/>
          <w:szCs w:val="25"/>
        </w:rPr>
        <w:t xml:space="preserve"> </w:t>
      </w:r>
    </w:p>
    <w:p w14:paraId="5299A01E" w14:textId="7B193748" w:rsidR="00FA09B7" w:rsidRDefault="0059527A" w:rsidP="0059527A">
      <w:pPr>
        <w:spacing w:before="80" w:after="80"/>
        <w:ind w:firstLine="567"/>
        <w:jc w:val="both"/>
        <w:rPr>
          <w:rFonts w:ascii="Times New Roman" w:hAnsi="Times New Roman"/>
          <w:sz w:val="25"/>
          <w:szCs w:val="25"/>
        </w:rPr>
      </w:pPr>
      <w:r>
        <w:rPr>
          <w:rFonts w:ascii="Times New Roman" w:hAnsi="Times New Roman"/>
          <w:sz w:val="25"/>
          <w:szCs w:val="25"/>
        </w:rPr>
        <w:t xml:space="preserve">В </w:t>
      </w:r>
      <w:r w:rsidR="00FA09B7" w:rsidRPr="00FA09B7">
        <w:rPr>
          <w:rFonts w:ascii="Times New Roman" w:hAnsi="Times New Roman"/>
          <w:sz w:val="25"/>
          <w:szCs w:val="25"/>
        </w:rPr>
        <w:t xml:space="preserve">отсутствии каких-либо законодательно установленных способов «предварительного общественного контроля» за принятием </w:t>
      </w:r>
      <w:r>
        <w:rPr>
          <w:rFonts w:ascii="Times New Roman" w:hAnsi="Times New Roman"/>
          <w:sz w:val="25"/>
          <w:szCs w:val="25"/>
        </w:rPr>
        <w:t>Банком России</w:t>
      </w:r>
      <w:r w:rsidR="00FA09B7" w:rsidRPr="00FA09B7">
        <w:rPr>
          <w:rFonts w:ascii="Times New Roman" w:hAnsi="Times New Roman"/>
          <w:sz w:val="25"/>
          <w:szCs w:val="25"/>
        </w:rPr>
        <w:t xml:space="preserve"> своих </w:t>
      </w:r>
      <w:r w:rsidR="00FA09B7" w:rsidRPr="00FA09B7">
        <w:rPr>
          <w:rFonts w:ascii="Times New Roman" w:hAnsi="Times New Roman"/>
          <w:sz w:val="25"/>
          <w:szCs w:val="25"/>
        </w:rPr>
        <w:lastRenderedPageBreak/>
        <w:t>нормативных актов</w:t>
      </w:r>
      <w:r>
        <w:rPr>
          <w:rFonts w:ascii="Times New Roman" w:hAnsi="Times New Roman"/>
          <w:sz w:val="25"/>
          <w:szCs w:val="25"/>
        </w:rPr>
        <w:t>, по</w:t>
      </w:r>
      <w:r w:rsidR="002B161D">
        <w:rPr>
          <w:rFonts w:ascii="Times New Roman" w:hAnsi="Times New Roman"/>
          <w:sz w:val="25"/>
          <w:szCs w:val="25"/>
        </w:rPr>
        <w:t xml:space="preserve"> </w:t>
      </w:r>
      <w:r>
        <w:rPr>
          <w:rFonts w:ascii="Times New Roman" w:hAnsi="Times New Roman"/>
          <w:sz w:val="25"/>
          <w:szCs w:val="25"/>
        </w:rPr>
        <w:t>мнению Комиссии</w:t>
      </w:r>
      <w:r w:rsidR="00AF387F">
        <w:rPr>
          <w:rFonts w:ascii="Times New Roman" w:hAnsi="Times New Roman"/>
          <w:sz w:val="25"/>
          <w:szCs w:val="25"/>
        </w:rPr>
        <w:t>,</w:t>
      </w:r>
      <w:r>
        <w:rPr>
          <w:rFonts w:ascii="Times New Roman" w:hAnsi="Times New Roman"/>
          <w:sz w:val="25"/>
          <w:szCs w:val="25"/>
        </w:rPr>
        <w:t xml:space="preserve"> представителям регулятора следует привлекать</w:t>
      </w:r>
      <w:r w:rsidR="00FA09B7" w:rsidRPr="00FA09B7">
        <w:rPr>
          <w:rFonts w:ascii="Times New Roman" w:hAnsi="Times New Roman"/>
          <w:sz w:val="25"/>
          <w:szCs w:val="25"/>
        </w:rPr>
        <w:t xml:space="preserve"> в научно-консультативную работу </w:t>
      </w:r>
      <w:r>
        <w:rPr>
          <w:rFonts w:ascii="Times New Roman" w:hAnsi="Times New Roman"/>
          <w:sz w:val="25"/>
          <w:szCs w:val="25"/>
        </w:rPr>
        <w:t>представителей научного сообщества, практикующих юристов, зарубежных и отечественных предпринимателей</w:t>
      </w:r>
      <w:r w:rsidR="0074181E">
        <w:rPr>
          <w:rFonts w:ascii="Times New Roman" w:hAnsi="Times New Roman"/>
          <w:sz w:val="25"/>
          <w:szCs w:val="25"/>
        </w:rPr>
        <w:t xml:space="preserve"> </w:t>
      </w:r>
      <w:r>
        <w:rPr>
          <w:rFonts w:ascii="Times New Roman" w:hAnsi="Times New Roman"/>
          <w:sz w:val="25"/>
          <w:szCs w:val="25"/>
        </w:rPr>
        <w:t xml:space="preserve">для </w:t>
      </w:r>
      <w:r w:rsidR="00AF387F">
        <w:rPr>
          <w:rFonts w:ascii="Times New Roman" w:hAnsi="Times New Roman"/>
          <w:sz w:val="25"/>
          <w:szCs w:val="25"/>
        </w:rPr>
        <w:t>участия в подготовке и</w:t>
      </w:r>
      <w:r w:rsidR="00FA09B7" w:rsidRPr="00FA09B7">
        <w:rPr>
          <w:rFonts w:ascii="Times New Roman" w:hAnsi="Times New Roman"/>
          <w:sz w:val="25"/>
          <w:szCs w:val="25"/>
        </w:rPr>
        <w:t xml:space="preserve"> </w:t>
      </w:r>
      <w:r>
        <w:rPr>
          <w:rFonts w:ascii="Times New Roman" w:hAnsi="Times New Roman"/>
          <w:sz w:val="25"/>
          <w:szCs w:val="25"/>
        </w:rPr>
        <w:t>обсуждени</w:t>
      </w:r>
      <w:r w:rsidR="00AF387F">
        <w:rPr>
          <w:rFonts w:ascii="Times New Roman" w:hAnsi="Times New Roman"/>
          <w:sz w:val="25"/>
          <w:szCs w:val="25"/>
        </w:rPr>
        <w:t>и</w:t>
      </w:r>
      <w:r>
        <w:rPr>
          <w:rFonts w:ascii="Times New Roman" w:hAnsi="Times New Roman"/>
          <w:sz w:val="25"/>
          <w:szCs w:val="25"/>
        </w:rPr>
        <w:t xml:space="preserve"> будущих нормативных актов</w:t>
      </w:r>
      <w:r w:rsidR="002B161D">
        <w:rPr>
          <w:rFonts w:ascii="Times New Roman" w:hAnsi="Times New Roman"/>
          <w:sz w:val="25"/>
          <w:szCs w:val="25"/>
        </w:rPr>
        <w:t>.</w:t>
      </w:r>
    </w:p>
    <w:p w14:paraId="589C946C" w14:textId="2DCA66F5" w:rsidR="00274F6F" w:rsidRPr="007750AB" w:rsidRDefault="00274F6F" w:rsidP="00274F6F">
      <w:pPr>
        <w:spacing w:before="80" w:after="80"/>
        <w:ind w:firstLine="567"/>
        <w:jc w:val="both"/>
        <w:rPr>
          <w:rFonts w:ascii="Times New Roman" w:hAnsi="Times New Roman"/>
          <w:sz w:val="25"/>
          <w:szCs w:val="25"/>
        </w:rPr>
      </w:pPr>
      <w:r>
        <w:rPr>
          <w:rFonts w:ascii="Times New Roman" w:hAnsi="Times New Roman"/>
          <w:sz w:val="25"/>
          <w:szCs w:val="25"/>
        </w:rPr>
        <w:t>Комиссия также полагает целесообразным предложить Банку России рассмотреть возможность предоставления разъяснений</w:t>
      </w:r>
      <w:r w:rsidRPr="007750AB">
        <w:rPr>
          <w:rFonts w:ascii="Times New Roman" w:hAnsi="Times New Roman"/>
          <w:sz w:val="25"/>
          <w:szCs w:val="25"/>
        </w:rPr>
        <w:t xml:space="preserve"> </w:t>
      </w:r>
      <w:r w:rsidR="00AF387F">
        <w:rPr>
          <w:rFonts w:ascii="Times New Roman" w:hAnsi="Times New Roman"/>
          <w:sz w:val="25"/>
          <w:szCs w:val="25"/>
        </w:rPr>
        <w:t>по вопросам</w:t>
      </w:r>
      <w:r w:rsidR="00AF387F" w:rsidRPr="007750AB">
        <w:rPr>
          <w:rFonts w:ascii="Times New Roman" w:hAnsi="Times New Roman"/>
          <w:sz w:val="25"/>
          <w:szCs w:val="25"/>
        </w:rPr>
        <w:t xml:space="preserve"> применения существующих </w:t>
      </w:r>
      <w:r w:rsidR="00924C34">
        <w:rPr>
          <w:rFonts w:ascii="Times New Roman" w:hAnsi="Times New Roman"/>
          <w:sz w:val="25"/>
          <w:szCs w:val="25"/>
        </w:rPr>
        <w:t>нормативных актов</w:t>
      </w:r>
      <w:r w:rsidR="00AF387F">
        <w:rPr>
          <w:rFonts w:ascii="Times New Roman" w:hAnsi="Times New Roman"/>
          <w:sz w:val="25"/>
          <w:szCs w:val="25"/>
        </w:rPr>
        <w:t xml:space="preserve"> </w:t>
      </w:r>
      <w:r w:rsidRPr="007750AB">
        <w:rPr>
          <w:rFonts w:ascii="Times New Roman" w:hAnsi="Times New Roman"/>
          <w:sz w:val="25"/>
          <w:szCs w:val="25"/>
        </w:rPr>
        <w:t>по обращениям заинтересованных лиц (аналогично Швейцарии, Сингапуру, Великобритании и другим странам) в отношении конкретных случаев</w:t>
      </w:r>
      <w:r>
        <w:rPr>
          <w:rFonts w:ascii="Times New Roman" w:hAnsi="Times New Roman"/>
          <w:sz w:val="25"/>
          <w:szCs w:val="25"/>
        </w:rPr>
        <w:t xml:space="preserve">, </w:t>
      </w:r>
      <w:r w:rsidR="00AF387F">
        <w:rPr>
          <w:rFonts w:ascii="Times New Roman" w:hAnsi="Times New Roman"/>
          <w:sz w:val="25"/>
          <w:szCs w:val="25"/>
        </w:rPr>
        <w:t>с детализацией порядка предоставления таких разъяснений с публикацией</w:t>
      </w:r>
      <w:r w:rsidRPr="007750AB">
        <w:rPr>
          <w:rFonts w:ascii="Times New Roman" w:hAnsi="Times New Roman"/>
          <w:sz w:val="25"/>
          <w:szCs w:val="25"/>
        </w:rPr>
        <w:t xml:space="preserve"> регулятором отчетов по обобщению практики (аналогично</w:t>
      </w:r>
      <w:r w:rsidR="00AF387F">
        <w:rPr>
          <w:rFonts w:ascii="Times New Roman" w:hAnsi="Times New Roman"/>
          <w:sz w:val="25"/>
          <w:szCs w:val="25"/>
        </w:rPr>
        <w:t xml:space="preserve"> тому, как это делает</w:t>
      </w:r>
      <w:r w:rsidRPr="007750AB">
        <w:rPr>
          <w:rFonts w:ascii="Times New Roman" w:hAnsi="Times New Roman"/>
          <w:sz w:val="25"/>
          <w:szCs w:val="25"/>
        </w:rPr>
        <w:t xml:space="preserve"> </w:t>
      </w:r>
      <w:r w:rsidR="00AF387F" w:rsidRPr="001E5EF1">
        <w:rPr>
          <w:rFonts w:ascii="Times New Roman" w:hAnsi="Times New Roman"/>
          <w:sz w:val="25"/>
          <w:szCs w:val="25"/>
        </w:rPr>
        <w:t>FINMA</w:t>
      </w:r>
      <w:r w:rsidRPr="007750AB">
        <w:rPr>
          <w:rFonts w:ascii="Times New Roman" w:hAnsi="Times New Roman"/>
          <w:sz w:val="25"/>
          <w:szCs w:val="25"/>
        </w:rPr>
        <w:t>, Швейцария)</w:t>
      </w:r>
      <w:r w:rsidR="003430E2">
        <w:rPr>
          <w:rFonts w:ascii="Times New Roman" w:hAnsi="Times New Roman"/>
          <w:sz w:val="25"/>
          <w:szCs w:val="25"/>
        </w:rPr>
        <w:t>.</w:t>
      </w:r>
    </w:p>
    <w:p w14:paraId="0FA9E5BE" w14:textId="29921C00" w:rsidR="00B079B2" w:rsidRPr="007750AB" w:rsidRDefault="00D323EC" w:rsidP="007750AB">
      <w:pPr>
        <w:spacing w:before="80" w:after="80"/>
        <w:ind w:firstLine="567"/>
        <w:jc w:val="both"/>
        <w:rPr>
          <w:rFonts w:ascii="Times New Roman" w:hAnsi="Times New Roman"/>
          <w:sz w:val="25"/>
          <w:szCs w:val="25"/>
        </w:rPr>
      </w:pPr>
      <w:r>
        <w:rPr>
          <w:rFonts w:ascii="Times New Roman" w:hAnsi="Times New Roman"/>
          <w:sz w:val="25"/>
          <w:szCs w:val="25"/>
        </w:rPr>
        <w:t>2</w:t>
      </w:r>
      <w:r w:rsidR="00B079B2">
        <w:rPr>
          <w:rFonts w:ascii="Times New Roman" w:hAnsi="Times New Roman"/>
          <w:sz w:val="25"/>
          <w:szCs w:val="25"/>
        </w:rPr>
        <w:t xml:space="preserve">. </w:t>
      </w:r>
      <w:r w:rsidR="00B079B2" w:rsidRPr="00B079B2">
        <w:rPr>
          <w:rFonts w:ascii="Times New Roman" w:hAnsi="Times New Roman"/>
          <w:sz w:val="25"/>
          <w:szCs w:val="25"/>
        </w:rPr>
        <w:t xml:space="preserve">Распределенные реестры и цифровые финансовые активы существуют в виртуальной и потенциально трансграничной среде, в связи с чем вопрос о сфере действия законодательства о цифровых финансовых активах в пространстве и по </w:t>
      </w:r>
      <w:r w:rsidR="00CD508D">
        <w:rPr>
          <w:rFonts w:ascii="Times New Roman" w:hAnsi="Times New Roman"/>
          <w:sz w:val="25"/>
          <w:szCs w:val="25"/>
        </w:rPr>
        <w:t>составу</w:t>
      </w:r>
      <w:r w:rsidR="00B079B2" w:rsidRPr="00B079B2">
        <w:rPr>
          <w:rFonts w:ascii="Times New Roman" w:hAnsi="Times New Roman"/>
          <w:sz w:val="25"/>
          <w:szCs w:val="25"/>
        </w:rPr>
        <w:t xml:space="preserve"> лиц приобретает особое значение. В представленной редакции </w:t>
      </w:r>
      <w:r w:rsidR="00B079B2">
        <w:rPr>
          <w:rFonts w:ascii="Times New Roman" w:hAnsi="Times New Roman"/>
          <w:sz w:val="25"/>
          <w:szCs w:val="25"/>
        </w:rPr>
        <w:t xml:space="preserve">проекта закона о ЦФА </w:t>
      </w:r>
      <w:r w:rsidR="00B079B2" w:rsidRPr="00B079B2">
        <w:rPr>
          <w:rFonts w:ascii="Times New Roman" w:hAnsi="Times New Roman"/>
          <w:sz w:val="25"/>
          <w:szCs w:val="25"/>
        </w:rPr>
        <w:t>присутствуют упоминания о применимости некоторых его положений к определенным лицам с использованием терминологии международного частного права («личный закон» юридического лица). Вместе с тем целостной картины о планируемой сфере применения данного закона законопроект не обозначает. В частности, не ясно, будет ли он применим к операторам информационной системы или операторам по обмену цифровых финансовых активов, которые являются иностранными лицами, не имеют присутствия на территории РФ, но при этом осуществляют направленную деятельность на территорию РФ (сайт на русском языке, осуществление поддержки на русском языке, возможность заключения сделок с российскими лицами и пр.)? Если такой закон не будет распространяться на таких лиц, то его будет достаточно легко обходить, выводя отношения в иную юрисдикцию. Если же политико-правовые соображения обуславливают целесообразность распространения такого закона на таких лиц, то необходимо закрепить критерии такого «экстерриториального» применения закона, а также способы принудительного обеспечения исполнения такого закона в отношении иностранных лиц.</w:t>
      </w:r>
    </w:p>
    <w:p w14:paraId="2FF01D02" w14:textId="26C3567F" w:rsidR="004E13DA" w:rsidRPr="007750AB" w:rsidRDefault="00D323EC" w:rsidP="00D76F6F">
      <w:pPr>
        <w:spacing w:before="80" w:after="80"/>
        <w:ind w:firstLine="567"/>
        <w:jc w:val="both"/>
        <w:rPr>
          <w:rFonts w:ascii="Times New Roman" w:hAnsi="Times New Roman"/>
          <w:sz w:val="25"/>
          <w:szCs w:val="25"/>
        </w:rPr>
      </w:pPr>
      <w:r>
        <w:rPr>
          <w:rFonts w:ascii="Times New Roman" w:hAnsi="Times New Roman"/>
          <w:sz w:val="25"/>
          <w:szCs w:val="25"/>
        </w:rPr>
        <w:t>3</w:t>
      </w:r>
      <w:r w:rsidR="002B161D">
        <w:rPr>
          <w:rFonts w:ascii="Times New Roman" w:hAnsi="Times New Roman"/>
          <w:sz w:val="25"/>
          <w:szCs w:val="25"/>
        </w:rPr>
        <w:t xml:space="preserve">. </w:t>
      </w:r>
      <w:r w:rsidR="009D2778">
        <w:rPr>
          <w:rFonts w:ascii="Times New Roman" w:hAnsi="Times New Roman"/>
          <w:sz w:val="25"/>
          <w:szCs w:val="25"/>
        </w:rPr>
        <w:t>З</w:t>
      </w:r>
      <w:r w:rsidR="004E13DA">
        <w:rPr>
          <w:rFonts w:ascii="Times New Roman" w:hAnsi="Times New Roman"/>
          <w:sz w:val="25"/>
          <w:szCs w:val="25"/>
        </w:rPr>
        <w:t>аконопроекты</w:t>
      </w:r>
      <w:r w:rsidR="004E13DA" w:rsidRPr="007750AB">
        <w:rPr>
          <w:rFonts w:ascii="Times New Roman" w:hAnsi="Times New Roman"/>
          <w:sz w:val="25"/>
          <w:szCs w:val="25"/>
        </w:rPr>
        <w:t xml:space="preserve"> в совокупности не дают четкого понимания</w:t>
      </w:r>
      <w:r w:rsidR="004E13DA">
        <w:rPr>
          <w:rFonts w:ascii="Times New Roman" w:hAnsi="Times New Roman"/>
          <w:sz w:val="25"/>
          <w:szCs w:val="25"/>
        </w:rPr>
        <w:t xml:space="preserve"> порядка</w:t>
      </w:r>
      <w:r w:rsidR="004E13DA" w:rsidRPr="007750AB">
        <w:rPr>
          <w:rFonts w:ascii="Times New Roman" w:hAnsi="Times New Roman"/>
          <w:sz w:val="25"/>
          <w:szCs w:val="25"/>
        </w:rPr>
        <w:t xml:space="preserve"> взаимодействия с иностранными регулируемыми участниками рынка, включая операторов обмена, и возможностей проведения (с учетом также последующего отражения в отчетности</w:t>
      </w:r>
      <w:r w:rsidR="004E13DA" w:rsidRPr="004E13DA">
        <w:rPr>
          <w:rFonts w:ascii="Times New Roman" w:hAnsi="Times New Roman"/>
          <w:sz w:val="25"/>
          <w:szCs w:val="25"/>
        </w:rPr>
        <w:t xml:space="preserve"> </w:t>
      </w:r>
      <w:r w:rsidR="004E13DA" w:rsidRPr="007750AB">
        <w:rPr>
          <w:rFonts w:ascii="Times New Roman" w:hAnsi="Times New Roman"/>
          <w:sz w:val="25"/>
          <w:szCs w:val="25"/>
        </w:rPr>
        <w:t xml:space="preserve">для юридических лиц) операций с ними, </w:t>
      </w:r>
      <w:r w:rsidR="00D76F6F">
        <w:rPr>
          <w:rFonts w:ascii="Times New Roman" w:hAnsi="Times New Roman"/>
          <w:sz w:val="25"/>
          <w:szCs w:val="25"/>
        </w:rPr>
        <w:t xml:space="preserve">формальностей, связанных с этим. </w:t>
      </w:r>
      <w:r w:rsidR="00D76F6F" w:rsidRPr="00D76F6F">
        <w:rPr>
          <w:rFonts w:ascii="Times New Roman" w:hAnsi="Times New Roman"/>
          <w:sz w:val="25"/>
          <w:szCs w:val="25"/>
        </w:rPr>
        <w:t xml:space="preserve">Операции, совершенные до принятия </w:t>
      </w:r>
      <w:r w:rsidR="00D76F6F">
        <w:rPr>
          <w:rFonts w:ascii="Times New Roman" w:hAnsi="Times New Roman"/>
          <w:sz w:val="25"/>
          <w:szCs w:val="25"/>
        </w:rPr>
        <w:t>законопроектов, могут остаться вне закона</w:t>
      </w:r>
      <w:r w:rsidR="00D76F6F" w:rsidRPr="00D76F6F">
        <w:rPr>
          <w:rFonts w:ascii="Times New Roman" w:hAnsi="Times New Roman"/>
          <w:sz w:val="25"/>
          <w:szCs w:val="25"/>
        </w:rPr>
        <w:t xml:space="preserve"> и</w:t>
      </w:r>
      <w:r w:rsidR="00D76F6F">
        <w:rPr>
          <w:rFonts w:ascii="Times New Roman" w:hAnsi="Times New Roman"/>
          <w:sz w:val="25"/>
          <w:szCs w:val="25"/>
        </w:rPr>
        <w:t xml:space="preserve"> </w:t>
      </w:r>
      <w:r w:rsidR="00D76F6F" w:rsidRPr="00D76F6F">
        <w:rPr>
          <w:rFonts w:ascii="Times New Roman" w:hAnsi="Times New Roman"/>
          <w:sz w:val="25"/>
          <w:szCs w:val="25"/>
        </w:rPr>
        <w:t>будущие операции также</w:t>
      </w:r>
      <w:r w:rsidR="00D76F6F">
        <w:rPr>
          <w:rFonts w:ascii="Times New Roman" w:hAnsi="Times New Roman"/>
          <w:sz w:val="25"/>
          <w:szCs w:val="25"/>
        </w:rPr>
        <w:t>,</w:t>
      </w:r>
      <w:r w:rsidR="00D76F6F" w:rsidRPr="00D76F6F">
        <w:rPr>
          <w:rFonts w:ascii="Times New Roman" w:hAnsi="Times New Roman"/>
          <w:sz w:val="25"/>
          <w:szCs w:val="25"/>
        </w:rPr>
        <w:t xml:space="preserve"> ввиду невозможности работы с мировым рынком</w:t>
      </w:r>
      <w:r w:rsidR="00C84B1D">
        <w:rPr>
          <w:rFonts w:ascii="Times New Roman" w:hAnsi="Times New Roman"/>
          <w:sz w:val="25"/>
          <w:szCs w:val="25"/>
        </w:rPr>
        <w:t>.</w:t>
      </w:r>
    </w:p>
    <w:p w14:paraId="4CC4167D" w14:textId="00AAAFC4" w:rsidR="00124655" w:rsidRDefault="001E5EF1" w:rsidP="007750AB">
      <w:pPr>
        <w:spacing w:before="80" w:after="80"/>
        <w:ind w:firstLine="567"/>
        <w:jc w:val="both"/>
        <w:rPr>
          <w:rFonts w:ascii="Times New Roman" w:hAnsi="Times New Roman"/>
          <w:sz w:val="25"/>
          <w:szCs w:val="25"/>
        </w:rPr>
      </w:pPr>
      <w:r>
        <w:rPr>
          <w:rFonts w:ascii="Times New Roman" w:hAnsi="Times New Roman"/>
          <w:sz w:val="25"/>
          <w:szCs w:val="25"/>
        </w:rPr>
        <w:t>4</w:t>
      </w:r>
      <w:r w:rsidR="004E13DA">
        <w:rPr>
          <w:rFonts w:ascii="Times New Roman" w:hAnsi="Times New Roman"/>
          <w:sz w:val="25"/>
          <w:szCs w:val="25"/>
        </w:rPr>
        <w:t xml:space="preserve">. </w:t>
      </w:r>
      <w:r w:rsidR="00EB6E4E">
        <w:rPr>
          <w:rFonts w:ascii="Times New Roman" w:hAnsi="Times New Roman"/>
          <w:sz w:val="25"/>
          <w:szCs w:val="25"/>
        </w:rPr>
        <w:t>Л</w:t>
      </w:r>
      <w:r w:rsidR="00124655" w:rsidRPr="007750AB">
        <w:rPr>
          <w:rFonts w:ascii="Times New Roman" w:hAnsi="Times New Roman"/>
          <w:sz w:val="25"/>
          <w:szCs w:val="25"/>
        </w:rPr>
        <w:t>ицензирование / регулирование деятельности, которая связана с применением цифровых способов передачи и хранения активов, включая те, что имеют характеристики ценных бумаг, а также способов передачи ценностей (платежные функции): простой отсылки к действующим законам недостаточно, необходима доработка для учета технических особенностей цифровых активов, работы операторов обмена (платформ для размещения), трансграничного характера операций, а также участия иностранных участников, коллизий с нормами относительно защиты персональных данных, механизм использования экспериментальных режимов и песочниц в отношении конкретных примеров работы с цифровыми финансовыми ак</w:t>
      </w:r>
      <w:r w:rsidR="00C84B1D">
        <w:rPr>
          <w:rFonts w:ascii="Times New Roman" w:hAnsi="Times New Roman"/>
          <w:sz w:val="25"/>
          <w:szCs w:val="25"/>
        </w:rPr>
        <w:t>тивами («ЦФА»).</w:t>
      </w:r>
    </w:p>
    <w:p w14:paraId="5DC82249" w14:textId="07CBFB5F" w:rsidR="00031265" w:rsidRPr="00031265" w:rsidRDefault="00D323EC" w:rsidP="00031265">
      <w:pPr>
        <w:spacing w:before="80" w:after="80"/>
        <w:ind w:firstLine="567"/>
        <w:jc w:val="both"/>
        <w:rPr>
          <w:rFonts w:ascii="Times New Roman" w:hAnsi="Times New Roman"/>
          <w:sz w:val="25"/>
          <w:szCs w:val="25"/>
        </w:rPr>
      </w:pPr>
      <w:r>
        <w:rPr>
          <w:rFonts w:ascii="Times New Roman" w:hAnsi="Times New Roman"/>
          <w:sz w:val="25"/>
          <w:szCs w:val="25"/>
        </w:rPr>
        <w:t>5</w:t>
      </w:r>
      <w:r w:rsidR="00031265">
        <w:rPr>
          <w:rFonts w:ascii="Times New Roman" w:hAnsi="Times New Roman"/>
          <w:sz w:val="25"/>
          <w:szCs w:val="25"/>
        </w:rPr>
        <w:t>.</w:t>
      </w:r>
      <w:r w:rsidR="00031265" w:rsidRPr="00031265">
        <w:rPr>
          <w:rFonts w:ascii="Times New Roman" w:hAnsi="Times New Roman"/>
          <w:sz w:val="25"/>
          <w:szCs w:val="25"/>
        </w:rPr>
        <w:t xml:space="preserve"> Статья 13</w:t>
      </w:r>
      <w:r w:rsidR="00031265">
        <w:rPr>
          <w:rFonts w:ascii="Times New Roman" w:hAnsi="Times New Roman"/>
          <w:sz w:val="25"/>
          <w:szCs w:val="25"/>
        </w:rPr>
        <w:t xml:space="preserve"> проекта</w:t>
      </w:r>
      <w:r w:rsidR="00CE25F9">
        <w:rPr>
          <w:rFonts w:ascii="Times New Roman" w:hAnsi="Times New Roman"/>
          <w:sz w:val="25"/>
          <w:szCs w:val="25"/>
        </w:rPr>
        <w:t xml:space="preserve"> закона</w:t>
      </w:r>
      <w:r w:rsidR="00031265">
        <w:rPr>
          <w:rFonts w:ascii="Times New Roman" w:hAnsi="Times New Roman"/>
          <w:sz w:val="25"/>
          <w:szCs w:val="25"/>
        </w:rPr>
        <w:t xml:space="preserve"> о краудфандинге </w:t>
      </w:r>
      <w:r w:rsidR="00031265" w:rsidRPr="00031265">
        <w:rPr>
          <w:rFonts w:ascii="Times New Roman" w:hAnsi="Times New Roman"/>
          <w:sz w:val="25"/>
          <w:szCs w:val="25"/>
        </w:rPr>
        <w:t xml:space="preserve">содержит полномочия Банка России относительно контроля за деятельностью операторов инвестиционных платформ. В частности, ч. 2 ст. 13 проекта закона </w:t>
      </w:r>
      <w:r w:rsidR="00031265">
        <w:rPr>
          <w:rFonts w:ascii="Times New Roman" w:hAnsi="Times New Roman"/>
          <w:sz w:val="25"/>
          <w:szCs w:val="25"/>
        </w:rPr>
        <w:t>включает</w:t>
      </w:r>
      <w:r w:rsidR="00031265" w:rsidRPr="00031265">
        <w:rPr>
          <w:rFonts w:ascii="Times New Roman" w:hAnsi="Times New Roman"/>
          <w:sz w:val="25"/>
          <w:szCs w:val="25"/>
        </w:rPr>
        <w:t xml:space="preserve"> обязанность оператора предоставлять документы и информацию в срок, указанный Банком России, однако, закон</w:t>
      </w:r>
      <w:r w:rsidR="00AA05FF">
        <w:rPr>
          <w:rFonts w:ascii="Times New Roman" w:hAnsi="Times New Roman"/>
          <w:sz w:val="25"/>
          <w:szCs w:val="25"/>
        </w:rPr>
        <w:t>опроект</w:t>
      </w:r>
      <w:r w:rsidR="00031265" w:rsidRPr="00031265">
        <w:rPr>
          <w:rFonts w:ascii="Times New Roman" w:hAnsi="Times New Roman"/>
          <w:sz w:val="25"/>
          <w:szCs w:val="25"/>
        </w:rPr>
        <w:t xml:space="preserve"> не содержит минимальный срок направления такой информации и документов, что может </w:t>
      </w:r>
      <w:r w:rsidR="00031265" w:rsidRPr="00031265">
        <w:rPr>
          <w:rFonts w:ascii="Times New Roman" w:hAnsi="Times New Roman"/>
          <w:sz w:val="25"/>
          <w:szCs w:val="25"/>
        </w:rPr>
        <w:lastRenderedPageBreak/>
        <w:t>нарушать права и законные интересы операторов инвестиционных платформ.</w:t>
      </w:r>
      <w:r w:rsidR="00031265">
        <w:rPr>
          <w:rFonts w:ascii="Times New Roman" w:hAnsi="Times New Roman"/>
          <w:sz w:val="25"/>
          <w:szCs w:val="25"/>
        </w:rPr>
        <w:t xml:space="preserve"> Полагаем, что для соблюдения принципов разумности следует указать установить соответствующий срок. </w:t>
      </w:r>
      <w:r w:rsidR="00CE25F9">
        <w:rPr>
          <w:rFonts w:ascii="Times New Roman" w:hAnsi="Times New Roman"/>
          <w:sz w:val="25"/>
          <w:szCs w:val="25"/>
        </w:rPr>
        <w:t>Кроме того</w:t>
      </w:r>
      <w:r w:rsidR="002D58EF">
        <w:rPr>
          <w:rFonts w:ascii="Times New Roman" w:hAnsi="Times New Roman"/>
          <w:sz w:val="25"/>
          <w:szCs w:val="25"/>
        </w:rPr>
        <w:t>,</w:t>
      </w:r>
      <w:r w:rsidR="00CE25F9">
        <w:rPr>
          <w:rFonts w:ascii="Times New Roman" w:hAnsi="Times New Roman"/>
          <w:sz w:val="25"/>
          <w:szCs w:val="25"/>
        </w:rPr>
        <w:t xml:space="preserve"> </w:t>
      </w:r>
      <w:r w:rsidR="006B5845">
        <w:rPr>
          <w:rFonts w:ascii="Times New Roman" w:hAnsi="Times New Roman"/>
          <w:sz w:val="25"/>
          <w:szCs w:val="25"/>
        </w:rPr>
        <w:t xml:space="preserve">п. 5 </w:t>
      </w:r>
      <w:r w:rsidR="00CE25F9">
        <w:rPr>
          <w:rFonts w:ascii="Times New Roman" w:hAnsi="Times New Roman"/>
          <w:sz w:val="25"/>
          <w:szCs w:val="25"/>
        </w:rPr>
        <w:t>стать</w:t>
      </w:r>
      <w:r w:rsidR="006B5845">
        <w:rPr>
          <w:rFonts w:ascii="Times New Roman" w:hAnsi="Times New Roman"/>
          <w:sz w:val="25"/>
          <w:szCs w:val="25"/>
        </w:rPr>
        <w:t>и</w:t>
      </w:r>
      <w:r w:rsidR="00CE25F9">
        <w:rPr>
          <w:rFonts w:ascii="Times New Roman" w:hAnsi="Times New Roman"/>
          <w:sz w:val="25"/>
          <w:szCs w:val="25"/>
        </w:rPr>
        <w:t xml:space="preserve"> 16 пр</w:t>
      </w:r>
      <w:r w:rsidR="00894B54">
        <w:rPr>
          <w:rFonts w:ascii="Times New Roman" w:hAnsi="Times New Roman"/>
          <w:sz w:val="25"/>
          <w:szCs w:val="25"/>
        </w:rPr>
        <w:t>оекта закона о ЦФА предполагает, что оператор вправе обратится в Банк России с ходатайством об исключении из реестра операторов информационных систем при условии полного исполнения обязательств лицами, выпустившими ЦФА. Законопроект не конкретизирует</w:t>
      </w:r>
      <w:r w:rsidR="00AA05FF">
        <w:rPr>
          <w:rFonts w:ascii="Times New Roman" w:hAnsi="Times New Roman"/>
          <w:sz w:val="25"/>
          <w:szCs w:val="25"/>
        </w:rPr>
        <w:t>,</w:t>
      </w:r>
      <w:r w:rsidR="00894B54">
        <w:rPr>
          <w:rFonts w:ascii="Times New Roman" w:hAnsi="Times New Roman"/>
          <w:sz w:val="25"/>
          <w:szCs w:val="25"/>
        </w:rPr>
        <w:t xml:space="preserve"> что означает </w:t>
      </w:r>
      <w:r w:rsidR="00AA05FF">
        <w:rPr>
          <w:rFonts w:ascii="Times New Roman" w:hAnsi="Times New Roman"/>
          <w:sz w:val="25"/>
          <w:szCs w:val="25"/>
        </w:rPr>
        <w:t>«</w:t>
      </w:r>
      <w:r w:rsidR="00894B54">
        <w:rPr>
          <w:rFonts w:ascii="Times New Roman" w:hAnsi="Times New Roman"/>
          <w:sz w:val="25"/>
          <w:szCs w:val="25"/>
        </w:rPr>
        <w:t>полное исполнение обязательств</w:t>
      </w:r>
      <w:r w:rsidR="00AA05FF">
        <w:rPr>
          <w:rFonts w:ascii="Times New Roman" w:hAnsi="Times New Roman"/>
          <w:sz w:val="25"/>
          <w:szCs w:val="25"/>
        </w:rPr>
        <w:t>»</w:t>
      </w:r>
      <w:r w:rsidR="00894B54">
        <w:rPr>
          <w:rFonts w:ascii="Times New Roman" w:hAnsi="Times New Roman"/>
          <w:sz w:val="25"/>
          <w:szCs w:val="25"/>
        </w:rPr>
        <w:t>.</w:t>
      </w:r>
      <w:r w:rsidR="00CE25F9">
        <w:rPr>
          <w:rFonts w:ascii="Times New Roman" w:hAnsi="Times New Roman"/>
          <w:sz w:val="25"/>
          <w:szCs w:val="25"/>
        </w:rPr>
        <w:t xml:space="preserve"> </w:t>
      </w:r>
      <w:r w:rsidR="002D58EF">
        <w:rPr>
          <w:rFonts w:ascii="Times New Roman" w:hAnsi="Times New Roman"/>
          <w:sz w:val="25"/>
          <w:szCs w:val="25"/>
        </w:rPr>
        <w:t>Следует</w:t>
      </w:r>
      <w:r w:rsidR="00941845">
        <w:rPr>
          <w:rFonts w:ascii="Times New Roman" w:hAnsi="Times New Roman"/>
          <w:sz w:val="25"/>
          <w:szCs w:val="25"/>
        </w:rPr>
        <w:t xml:space="preserve"> дать четкое определение</w:t>
      </w:r>
      <w:r w:rsidR="002D58EF">
        <w:rPr>
          <w:rFonts w:ascii="Times New Roman" w:hAnsi="Times New Roman"/>
          <w:sz w:val="25"/>
          <w:szCs w:val="25"/>
        </w:rPr>
        <w:t xml:space="preserve"> данного положения</w:t>
      </w:r>
      <w:r w:rsidR="00941845">
        <w:rPr>
          <w:rFonts w:ascii="Times New Roman" w:hAnsi="Times New Roman"/>
          <w:sz w:val="25"/>
          <w:szCs w:val="25"/>
        </w:rPr>
        <w:t>.</w:t>
      </w:r>
    </w:p>
    <w:p w14:paraId="61D82029" w14:textId="710934C7" w:rsidR="00031265" w:rsidRDefault="00D323EC" w:rsidP="00031265">
      <w:pPr>
        <w:spacing w:before="80" w:after="80"/>
        <w:ind w:firstLine="567"/>
        <w:jc w:val="both"/>
        <w:rPr>
          <w:rFonts w:ascii="Times New Roman" w:hAnsi="Times New Roman"/>
          <w:sz w:val="25"/>
          <w:szCs w:val="25"/>
        </w:rPr>
      </w:pPr>
      <w:r>
        <w:rPr>
          <w:rFonts w:ascii="Times New Roman" w:hAnsi="Times New Roman"/>
          <w:sz w:val="25"/>
          <w:szCs w:val="25"/>
        </w:rPr>
        <w:t>6</w:t>
      </w:r>
      <w:r w:rsidR="00031265">
        <w:rPr>
          <w:rFonts w:ascii="Times New Roman" w:hAnsi="Times New Roman"/>
          <w:sz w:val="25"/>
          <w:szCs w:val="25"/>
        </w:rPr>
        <w:t>.</w:t>
      </w:r>
      <w:r w:rsidR="00031265" w:rsidRPr="00031265">
        <w:rPr>
          <w:rFonts w:ascii="Times New Roman" w:hAnsi="Times New Roman"/>
          <w:sz w:val="25"/>
          <w:szCs w:val="25"/>
        </w:rPr>
        <w:t xml:space="preserve"> </w:t>
      </w:r>
      <w:r w:rsidR="00031265">
        <w:rPr>
          <w:rFonts w:ascii="Times New Roman" w:hAnsi="Times New Roman"/>
          <w:sz w:val="25"/>
          <w:szCs w:val="25"/>
        </w:rPr>
        <w:t>Положения с</w:t>
      </w:r>
      <w:r w:rsidR="00031265" w:rsidRPr="00031265">
        <w:rPr>
          <w:rFonts w:ascii="Times New Roman" w:hAnsi="Times New Roman"/>
          <w:sz w:val="25"/>
          <w:szCs w:val="25"/>
        </w:rPr>
        <w:t>тать</w:t>
      </w:r>
      <w:r w:rsidR="00031265">
        <w:rPr>
          <w:rFonts w:ascii="Times New Roman" w:hAnsi="Times New Roman"/>
          <w:sz w:val="25"/>
          <w:szCs w:val="25"/>
        </w:rPr>
        <w:t>и</w:t>
      </w:r>
      <w:r w:rsidR="00031265" w:rsidRPr="00031265">
        <w:rPr>
          <w:rFonts w:ascii="Times New Roman" w:hAnsi="Times New Roman"/>
          <w:sz w:val="25"/>
          <w:szCs w:val="25"/>
        </w:rPr>
        <w:t xml:space="preserve"> 14</w:t>
      </w:r>
      <w:r w:rsidR="00031265">
        <w:rPr>
          <w:rFonts w:ascii="Times New Roman" w:hAnsi="Times New Roman"/>
          <w:sz w:val="25"/>
          <w:szCs w:val="25"/>
        </w:rPr>
        <w:t xml:space="preserve"> законопроекта о краудфандинге</w:t>
      </w:r>
      <w:r w:rsidR="00031265" w:rsidRPr="00031265">
        <w:rPr>
          <w:rFonts w:ascii="Times New Roman" w:hAnsi="Times New Roman"/>
          <w:sz w:val="25"/>
          <w:szCs w:val="25"/>
        </w:rPr>
        <w:t xml:space="preserve"> не содерж</w:t>
      </w:r>
      <w:r w:rsidR="00031265">
        <w:rPr>
          <w:rFonts w:ascii="Times New Roman" w:hAnsi="Times New Roman"/>
          <w:sz w:val="25"/>
          <w:szCs w:val="25"/>
        </w:rPr>
        <w:t>ат</w:t>
      </w:r>
      <w:r w:rsidR="00031265" w:rsidRPr="00031265">
        <w:rPr>
          <w:rFonts w:ascii="Times New Roman" w:hAnsi="Times New Roman"/>
          <w:sz w:val="25"/>
          <w:szCs w:val="25"/>
        </w:rPr>
        <w:t xml:space="preserve"> требований к перечню документов и информации, необходимых для предоставления оператором инвестиционной платформы в Банк России. В силу формальной неопределенности данные обстоятельства могут нарушать права и законные интересы операторов инвестиционных платформ.</w:t>
      </w:r>
    </w:p>
    <w:p w14:paraId="423BEFED" w14:textId="28C0829E" w:rsidR="00D40CEF" w:rsidRPr="00D40CEF" w:rsidRDefault="00D323EC" w:rsidP="00D40CEF">
      <w:pPr>
        <w:spacing w:before="80" w:after="80"/>
        <w:ind w:firstLine="567"/>
        <w:jc w:val="both"/>
        <w:rPr>
          <w:rFonts w:ascii="Times New Roman" w:hAnsi="Times New Roman"/>
          <w:sz w:val="25"/>
          <w:szCs w:val="25"/>
        </w:rPr>
      </w:pPr>
      <w:r>
        <w:rPr>
          <w:rFonts w:ascii="Times New Roman" w:hAnsi="Times New Roman"/>
          <w:sz w:val="25"/>
          <w:szCs w:val="25"/>
        </w:rPr>
        <w:t>7</w:t>
      </w:r>
      <w:r w:rsidR="00EB6E4E">
        <w:rPr>
          <w:rFonts w:ascii="Times New Roman" w:hAnsi="Times New Roman"/>
          <w:sz w:val="25"/>
          <w:szCs w:val="25"/>
        </w:rPr>
        <w:t xml:space="preserve">. </w:t>
      </w:r>
      <w:r w:rsidR="00D40CEF">
        <w:rPr>
          <w:rFonts w:ascii="Times New Roman" w:hAnsi="Times New Roman"/>
          <w:sz w:val="25"/>
          <w:szCs w:val="25"/>
        </w:rPr>
        <w:t>В рассматриваемых законопроектах н</w:t>
      </w:r>
      <w:r w:rsidR="00D40CEF" w:rsidRPr="00D40CEF">
        <w:rPr>
          <w:rFonts w:ascii="Times New Roman" w:hAnsi="Times New Roman"/>
          <w:sz w:val="25"/>
          <w:szCs w:val="25"/>
        </w:rPr>
        <w:t>е предусмотрена возможность работы с иностранными инвесторами через зарубежные банковские счета</w:t>
      </w:r>
      <w:r w:rsidR="00D40CEF">
        <w:rPr>
          <w:rFonts w:ascii="Times New Roman" w:hAnsi="Times New Roman"/>
          <w:sz w:val="25"/>
          <w:szCs w:val="25"/>
        </w:rPr>
        <w:t>. Это ограничивает возможности привлечения инвестиций в РФ, а также использования привычного инструментария для зарубежного инвестора.</w:t>
      </w:r>
    </w:p>
    <w:p w14:paraId="6D3FDD4C" w14:textId="18AEDB42" w:rsidR="00EB6E4E" w:rsidRDefault="00D323EC" w:rsidP="00031265">
      <w:pPr>
        <w:spacing w:before="80" w:after="80"/>
        <w:ind w:firstLine="567"/>
        <w:jc w:val="both"/>
        <w:rPr>
          <w:rFonts w:ascii="Times New Roman" w:hAnsi="Times New Roman"/>
          <w:sz w:val="25"/>
          <w:szCs w:val="25"/>
        </w:rPr>
      </w:pPr>
      <w:r>
        <w:rPr>
          <w:rFonts w:ascii="Times New Roman" w:hAnsi="Times New Roman"/>
          <w:sz w:val="25"/>
          <w:szCs w:val="25"/>
        </w:rPr>
        <w:t>8</w:t>
      </w:r>
      <w:r w:rsidR="00894B54">
        <w:rPr>
          <w:rFonts w:ascii="Times New Roman" w:hAnsi="Times New Roman"/>
          <w:sz w:val="25"/>
          <w:szCs w:val="25"/>
        </w:rPr>
        <w:t xml:space="preserve">. </w:t>
      </w:r>
      <w:r w:rsidR="006B5845">
        <w:rPr>
          <w:rFonts w:ascii="Times New Roman" w:hAnsi="Times New Roman"/>
          <w:sz w:val="25"/>
          <w:szCs w:val="25"/>
        </w:rPr>
        <w:t>П</w:t>
      </w:r>
      <w:r w:rsidR="00894B54">
        <w:rPr>
          <w:rFonts w:ascii="Times New Roman" w:hAnsi="Times New Roman"/>
          <w:sz w:val="25"/>
          <w:szCs w:val="25"/>
        </w:rPr>
        <w:t>роект закона о ЦФА устанавливает</w:t>
      </w:r>
      <w:r w:rsidR="006B5845">
        <w:rPr>
          <w:rFonts w:ascii="Times New Roman" w:hAnsi="Times New Roman"/>
          <w:sz w:val="25"/>
          <w:szCs w:val="25"/>
        </w:rPr>
        <w:t xml:space="preserve"> (п. 9 стать</w:t>
      </w:r>
      <w:r w:rsidR="001E5EF1">
        <w:rPr>
          <w:rFonts w:ascii="Times New Roman" w:hAnsi="Times New Roman"/>
          <w:sz w:val="25"/>
          <w:szCs w:val="25"/>
        </w:rPr>
        <w:t>и</w:t>
      </w:r>
      <w:r w:rsidR="006B5845">
        <w:rPr>
          <w:rFonts w:ascii="Times New Roman" w:hAnsi="Times New Roman"/>
          <w:sz w:val="25"/>
          <w:szCs w:val="25"/>
        </w:rPr>
        <w:t xml:space="preserve"> 8)</w:t>
      </w:r>
      <w:r w:rsidR="00894B54">
        <w:rPr>
          <w:rFonts w:ascii="Times New Roman" w:hAnsi="Times New Roman"/>
          <w:sz w:val="25"/>
          <w:szCs w:val="25"/>
        </w:rPr>
        <w:t xml:space="preserve"> обязанность оператора информационной системы исключить возможность совершения сделок с ЦФА через привлеченного им о</w:t>
      </w:r>
      <w:r w:rsidR="00941845">
        <w:rPr>
          <w:rFonts w:ascii="Times New Roman" w:hAnsi="Times New Roman"/>
          <w:sz w:val="25"/>
          <w:szCs w:val="25"/>
        </w:rPr>
        <w:t>ператора обмена ЦФА</w:t>
      </w:r>
      <w:r w:rsidR="00894B54">
        <w:rPr>
          <w:rFonts w:ascii="Times New Roman" w:hAnsi="Times New Roman"/>
          <w:sz w:val="25"/>
          <w:szCs w:val="25"/>
        </w:rPr>
        <w:t xml:space="preserve"> со дня исключения его из реестра операторов обмена ЦФА. Данное положение должно быть уточнено с точки зрения установления такой обязанности исключительно после того</w:t>
      </w:r>
      <w:r w:rsidR="00AA05FF">
        <w:rPr>
          <w:rFonts w:ascii="Times New Roman" w:hAnsi="Times New Roman"/>
          <w:sz w:val="25"/>
          <w:szCs w:val="25"/>
        </w:rPr>
        <w:t>,</w:t>
      </w:r>
      <w:r w:rsidR="00894B54">
        <w:rPr>
          <w:rFonts w:ascii="Times New Roman" w:hAnsi="Times New Roman"/>
          <w:sz w:val="25"/>
          <w:szCs w:val="25"/>
        </w:rPr>
        <w:t xml:space="preserve"> как оператору информационной системы стало известно об исключении оператора обмена ЦФА.</w:t>
      </w:r>
      <w:r w:rsidR="00941845">
        <w:rPr>
          <w:rFonts w:ascii="Times New Roman" w:hAnsi="Times New Roman"/>
          <w:sz w:val="25"/>
          <w:szCs w:val="25"/>
        </w:rPr>
        <w:t xml:space="preserve"> </w:t>
      </w:r>
    </w:p>
    <w:p w14:paraId="403FF5B6" w14:textId="77777777" w:rsidR="000A7618" w:rsidRPr="00031265" w:rsidRDefault="000A7618" w:rsidP="00031265">
      <w:pPr>
        <w:spacing w:before="80" w:after="80"/>
        <w:ind w:firstLine="567"/>
        <w:jc w:val="both"/>
        <w:rPr>
          <w:rFonts w:ascii="Times New Roman" w:hAnsi="Times New Roman"/>
          <w:sz w:val="25"/>
          <w:szCs w:val="25"/>
        </w:rPr>
      </w:pPr>
    </w:p>
    <w:p w14:paraId="7FAE4AA4" w14:textId="7AA12ECB" w:rsidR="0092495C" w:rsidRPr="006708F3" w:rsidRDefault="0092495C" w:rsidP="006708F3">
      <w:pPr>
        <w:jc w:val="center"/>
        <w:rPr>
          <w:rFonts w:ascii="Times New Roman" w:hAnsi="Times New Roman" w:cs="Times New Roman"/>
          <w:i/>
        </w:rPr>
      </w:pPr>
      <w:r w:rsidRPr="006708F3">
        <w:rPr>
          <w:rFonts w:ascii="Times New Roman" w:hAnsi="Times New Roman" w:cs="Times New Roman"/>
          <w:i/>
          <w:lang w:val="en-US"/>
        </w:rPr>
        <w:t>I</w:t>
      </w:r>
      <w:r w:rsidR="008F5F38" w:rsidRPr="006708F3">
        <w:rPr>
          <w:rFonts w:ascii="Times New Roman" w:hAnsi="Times New Roman" w:cs="Times New Roman"/>
          <w:i/>
          <w:lang w:val="en-US"/>
        </w:rPr>
        <w:t>V</w:t>
      </w:r>
    </w:p>
    <w:p w14:paraId="63C4B42F" w14:textId="33D88A7E" w:rsidR="00A83853" w:rsidRPr="006708F3" w:rsidRDefault="00A83853" w:rsidP="006708F3">
      <w:pPr>
        <w:jc w:val="center"/>
        <w:rPr>
          <w:rFonts w:ascii="Times New Roman" w:hAnsi="Times New Roman" w:cs="Times New Roman"/>
          <w:i/>
        </w:rPr>
      </w:pPr>
      <w:r w:rsidRPr="00924C34">
        <w:rPr>
          <w:rFonts w:ascii="Times New Roman" w:hAnsi="Times New Roman" w:cs="Times New Roman"/>
          <w:i/>
        </w:rPr>
        <w:t>Ответственность операторов и с</w:t>
      </w:r>
      <w:r w:rsidR="008F5F38" w:rsidRPr="00924C34">
        <w:rPr>
          <w:rFonts w:ascii="Times New Roman" w:hAnsi="Times New Roman" w:cs="Times New Roman"/>
          <w:i/>
        </w:rPr>
        <w:t>трахование как элемент обеспечения надежности</w:t>
      </w:r>
      <w:r w:rsidR="008F5F38" w:rsidRPr="006708F3">
        <w:rPr>
          <w:rFonts w:ascii="Times New Roman" w:hAnsi="Times New Roman" w:cs="Times New Roman"/>
          <w:i/>
        </w:rPr>
        <w:t xml:space="preserve"> оборота цифровых активов.</w:t>
      </w:r>
    </w:p>
    <w:p w14:paraId="02DED1FE" w14:textId="77777777" w:rsidR="00A83853" w:rsidRDefault="00A83853" w:rsidP="00A83853">
      <w:pPr>
        <w:rPr>
          <w:rFonts w:ascii="Times New Roman" w:hAnsi="Times New Roman"/>
          <w:sz w:val="25"/>
          <w:szCs w:val="25"/>
        </w:rPr>
      </w:pPr>
    </w:p>
    <w:p w14:paraId="799CACE6" w14:textId="392AA908" w:rsidR="00A83853" w:rsidRDefault="00A83853" w:rsidP="001E5EF1">
      <w:pPr>
        <w:spacing w:before="80" w:after="80"/>
        <w:ind w:firstLine="567"/>
        <w:jc w:val="both"/>
        <w:rPr>
          <w:rFonts w:ascii="Times New Roman" w:hAnsi="Times New Roman"/>
          <w:sz w:val="25"/>
          <w:szCs w:val="25"/>
        </w:rPr>
      </w:pPr>
      <w:r>
        <w:rPr>
          <w:rFonts w:ascii="Times New Roman" w:hAnsi="Times New Roman"/>
          <w:sz w:val="25"/>
          <w:szCs w:val="25"/>
        </w:rPr>
        <w:tab/>
        <w:t xml:space="preserve">1. </w:t>
      </w:r>
      <w:r w:rsidRPr="001E5EF1">
        <w:rPr>
          <w:rFonts w:ascii="Times New Roman" w:hAnsi="Times New Roman"/>
          <w:sz w:val="25"/>
          <w:szCs w:val="25"/>
        </w:rPr>
        <w:t>Вызывает сомнения предложенный в проекте закона о ЦФА подход о возложении на оператора информационной системы распределенного реестра неограниченной ответственности за ряд рисков, наступление которых не находится исключительно под его контролем. В частности, согласно п. 2 ч. 1 ст. 7 оператор несет ответственность за сбои в работе информационных технологий и технических средств информационной системы в виде возмещения убытков. При этом в отличие от лица, выпускающего цифровые финансовые активы, в отношении которого проект закона о ЦФА прямо допускает возможность ограничения ответственности (п. 12 ч. 1 ст. 3), таких указаний в отношении оператора не предусмотрено, что будет создавать риски толкования положений закона как императивно устанавливающих полный объем ответственности в виде возмещения убытков (реальный ущерб и упущенную выгоду, ст. 15 ГК РФ). Вместе с тем, неограниченная ответственность в IT-сфере является аномалией, поскольку надлежащая работа информационных технологий зависит от множества факторов и лиц, участвующих в процессе предоставления соответствующих сервисов. Оператор не может помимо своих функций еще и «страховать» клиентов от всех возможных рисков, связанных с такими сбоями. Наличие весьма общих оснований для наступления ответственности оператора («несоответствие информационной системы требованиям настоящего закона») также означает принятие оператором на себя некалькулируемых рисков, связанных с возможным изменением требований закона, подзаконных актов к нему и их интерпретаций регулятором. Представляется, что, как минимум, ответственность оператора должна быть ограничена только реальным ущербом (без упущенной выгоды), а в идеале – сумма реального ущерба должна быть ограничена определенным объемом. В противном случае многие проекты будут стремиться за пределы РФ.</w:t>
      </w:r>
    </w:p>
    <w:p w14:paraId="2C16E2C4" w14:textId="7BAF9199" w:rsidR="00A83853" w:rsidRPr="00924C34" w:rsidRDefault="00A83853" w:rsidP="001E5EF1">
      <w:pPr>
        <w:spacing w:before="80" w:after="80"/>
        <w:ind w:firstLine="567"/>
        <w:jc w:val="both"/>
        <w:rPr>
          <w:rFonts w:ascii="Times New Roman" w:hAnsi="Times New Roman"/>
          <w:sz w:val="25"/>
          <w:szCs w:val="25"/>
        </w:rPr>
      </w:pPr>
      <w:r>
        <w:rPr>
          <w:rFonts w:ascii="Times New Roman" w:hAnsi="Times New Roman"/>
          <w:sz w:val="25"/>
          <w:szCs w:val="25"/>
        </w:rPr>
        <w:lastRenderedPageBreak/>
        <w:tab/>
      </w:r>
      <w:r w:rsidRPr="00924C34">
        <w:rPr>
          <w:rFonts w:ascii="Times New Roman" w:hAnsi="Times New Roman"/>
          <w:sz w:val="25"/>
          <w:szCs w:val="25"/>
        </w:rPr>
        <w:t xml:space="preserve">2. </w:t>
      </w:r>
      <w:r w:rsidR="00B82AFE" w:rsidRPr="00924C34">
        <w:rPr>
          <w:rFonts w:ascii="Times New Roman" w:hAnsi="Times New Roman"/>
          <w:sz w:val="25"/>
          <w:szCs w:val="25"/>
        </w:rPr>
        <w:t>Н</w:t>
      </w:r>
      <w:r w:rsidR="008F5F38" w:rsidRPr="00924C34">
        <w:rPr>
          <w:rFonts w:ascii="Times New Roman" w:hAnsi="Times New Roman"/>
          <w:sz w:val="25"/>
          <w:szCs w:val="25"/>
        </w:rPr>
        <w:t>овый вид легальных активов и развитие их оборота связан не только с появлением новых возможностей, но и с рисками, которым предыдущие схемы оборота активов либо не были подвержены, либо подвергались их воздействию в меньшей степени.</w:t>
      </w:r>
      <w:r w:rsidR="00CD508D" w:rsidRPr="00924C34">
        <w:rPr>
          <w:rFonts w:ascii="Times New Roman" w:hAnsi="Times New Roman"/>
          <w:sz w:val="25"/>
          <w:szCs w:val="25"/>
        </w:rPr>
        <w:t xml:space="preserve"> </w:t>
      </w:r>
      <w:r w:rsidR="008F5F38" w:rsidRPr="00924C34">
        <w:rPr>
          <w:rFonts w:ascii="Times New Roman" w:hAnsi="Times New Roman"/>
          <w:sz w:val="25"/>
          <w:szCs w:val="25"/>
        </w:rPr>
        <w:t xml:space="preserve">В первую очередь это киберпреступления. По оценкам Ledger в 2018 году ежедневные потери криптобирж от взломов составляют </w:t>
      </w:r>
      <w:r w:rsidR="006434BA" w:rsidRPr="00924C34">
        <w:rPr>
          <w:rFonts w:ascii="Times New Roman" w:hAnsi="Times New Roman"/>
          <w:sz w:val="25"/>
          <w:szCs w:val="25"/>
        </w:rPr>
        <w:t>примерно 2</w:t>
      </w:r>
      <w:r w:rsidR="008F5F38" w:rsidRPr="00924C34">
        <w:rPr>
          <w:rFonts w:ascii="Times New Roman" w:hAnsi="Times New Roman"/>
          <w:sz w:val="25"/>
          <w:szCs w:val="25"/>
        </w:rPr>
        <w:t>,7 млн. USD</w:t>
      </w:r>
      <w:r w:rsidR="008F5F38" w:rsidRPr="00924C34">
        <w:rPr>
          <w:rFonts w:ascii="Times New Roman" w:hAnsi="Times New Roman"/>
          <w:sz w:val="25"/>
          <w:szCs w:val="25"/>
          <w:vertAlign w:val="superscript"/>
        </w:rPr>
        <w:footnoteReference w:id="7"/>
      </w:r>
      <w:r w:rsidR="00B82AFE" w:rsidRPr="00924C34">
        <w:rPr>
          <w:rFonts w:ascii="Times New Roman" w:hAnsi="Times New Roman"/>
          <w:sz w:val="25"/>
          <w:szCs w:val="25"/>
          <w:vertAlign w:val="superscript"/>
        </w:rPr>
        <w:t xml:space="preserve"> </w:t>
      </w:r>
      <w:r w:rsidR="00B82AFE" w:rsidRPr="00924C34">
        <w:rPr>
          <w:rFonts w:ascii="Times New Roman" w:hAnsi="Times New Roman"/>
          <w:sz w:val="25"/>
          <w:szCs w:val="25"/>
        </w:rPr>
        <w:t xml:space="preserve">(приблизительно </w:t>
      </w:r>
      <w:r w:rsidR="008F5F38" w:rsidRPr="00924C34">
        <w:rPr>
          <w:rFonts w:ascii="Times New Roman" w:hAnsi="Times New Roman"/>
          <w:sz w:val="25"/>
          <w:szCs w:val="25"/>
        </w:rPr>
        <w:t xml:space="preserve">64 </w:t>
      </w:r>
      <w:r w:rsidR="00B82AFE" w:rsidRPr="00924C34">
        <w:rPr>
          <w:rFonts w:ascii="Times New Roman" w:hAnsi="Times New Roman"/>
          <w:sz w:val="25"/>
          <w:szCs w:val="25"/>
        </w:rPr>
        <w:t xml:space="preserve">млрд. </w:t>
      </w:r>
      <w:r w:rsidR="008F5F38" w:rsidRPr="00924C34">
        <w:rPr>
          <w:rFonts w:ascii="Times New Roman" w:hAnsi="Times New Roman"/>
          <w:sz w:val="25"/>
          <w:szCs w:val="25"/>
        </w:rPr>
        <w:t>рублей</w:t>
      </w:r>
      <w:r w:rsidR="00B82AFE" w:rsidRPr="00924C34">
        <w:rPr>
          <w:rFonts w:ascii="Times New Roman" w:hAnsi="Times New Roman"/>
          <w:sz w:val="25"/>
          <w:szCs w:val="25"/>
        </w:rPr>
        <w:t xml:space="preserve"> в год)</w:t>
      </w:r>
      <w:r w:rsidR="008F5F38" w:rsidRPr="00924C34">
        <w:rPr>
          <w:rFonts w:ascii="Times New Roman" w:hAnsi="Times New Roman"/>
          <w:sz w:val="25"/>
          <w:szCs w:val="25"/>
        </w:rPr>
        <w:t xml:space="preserve">. Одним из способов снижения рисков и повышения привлекательности </w:t>
      </w:r>
      <w:r w:rsidR="006434BA" w:rsidRPr="00924C34">
        <w:rPr>
          <w:rFonts w:ascii="Times New Roman" w:hAnsi="Times New Roman"/>
          <w:sz w:val="25"/>
          <w:szCs w:val="25"/>
        </w:rPr>
        <w:t xml:space="preserve">всех видов </w:t>
      </w:r>
      <w:r w:rsidR="008F5F38" w:rsidRPr="00924C34">
        <w:rPr>
          <w:rFonts w:ascii="Times New Roman" w:hAnsi="Times New Roman"/>
          <w:sz w:val="25"/>
          <w:szCs w:val="25"/>
        </w:rPr>
        <w:t xml:space="preserve">инвестирования </w:t>
      </w:r>
      <w:r w:rsidR="006434BA" w:rsidRPr="00924C34">
        <w:rPr>
          <w:rFonts w:ascii="Times New Roman" w:hAnsi="Times New Roman"/>
          <w:sz w:val="25"/>
          <w:szCs w:val="25"/>
        </w:rPr>
        <w:t>в обороте</w:t>
      </w:r>
      <w:r w:rsidR="008F5F38" w:rsidRPr="00924C34">
        <w:rPr>
          <w:rFonts w:ascii="Times New Roman" w:hAnsi="Times New Roman"/>
          <w:sz w:val="25"/>
          <w:szCs w:val="25"/>
        </w:rPr>
        <w:t xml:space="preserve"> цифровые активы является страхование.</w:t>
      </w:r>
      <w:r w:rsidR="006434BA" w:rsidRPr="00924C34">
        <w:rPr>
          <w:rFonts w:ascii="Times New Roman" w:hAnsi="Times New Roman"/>
          <w:sz w:val="25"/>
          <w:szCs w:val="25"/>
        </w:rPr>
        <w:t xml:space="preserve"> </w:t>
      </w:r>
    </w:p>
    <w:p w14:paraId="40AEE01A" w14:textId="28E34517" w:rsidR="002E17E2" w:rsidRPr="00924C34" w:rsidRDefault="002E17E2" w:rsidP="002E17E2">
      <w:pPr>
        <w:spacing w:before="80" w:after="80"/>
        <w:ind w:firstLine="567"/>
        <w:jc w:val="both"/>
        <w:rPr>
          <w:rFonts w:ascii="Times New Roman" w:hAnsi="Times New Roman"/>
          <w:sz w:val="25"/>
          <w:szCs w:val="25"/>
        </w:rPr>
      </w:pPr>
      <w:r w:rsidRPr="00924C34">
        <w:rPr>
          <w:rFonts w:ascii="Times New Roman" w:hAnsi="Times New Roman"/>
          <w:sz w:val="25"/>
          <w:szCs w:val="25"/>
        </w:rPr>
        <w:t xml:space="preserve">Уже сейчас зарубежные криптобиржи либо самостоятельно страхуют средства инвесторов, как фиатные, так и активы на крипто-кошельках, либо предлагают такую услугу участникам биржи. Так такие криптобиржи США, как </w:t>
      </w:r>
      <w:r w:rsidRPr="00924C34">
        <w:rPr>
          <w:rFonts w:ascii="Times New Roman" w:hAnsi="Times New Roman"/>
          <w:sz w:val="25"/>
          <w:szCs w:val="25"/>
          <w:lang w:val="en-US"/>
        </w:rPr>
        <w:t>Coindesk</w:t>
      </w:r>
      <w:r w:rsidRPr="00924C34">
        <w:rPr>
          <w:rStyle w:val="a6"/>
          <w:rFonts w:ascii="Times New Roman" w:hAnsi="Times New Roman"/>
          <w:sz w:val="25"/>
          <w:szCs w:val="25"/>
          <w:lang w:val="en-US"/>
        </w:rPr>
        <w:footnoteReference w:id="8"/>
      </w:r>
      <w:r w:rsidRPr="00924C34">
        <w:rPr>
          <w:rFonts w:ascii="Times New Roman" w:hAnsi="Times New Roman"/>
          <w:sz w:val="25"/>
          <w:szCs w:val="25"/>
        </w:rPr>
        <w:t xml:space="preserve"> и </w:t>
      </w:r>
      <w:r w:rsidRPr="00924C34">
        <w:rPr>
          <w:rFonts w:ascii="Times New Roman" w:hAnsi="Times New Roman"/>
          <w:sz w:val="25"/>
          <w:szCs w:val="25"/>
          <w:lang w:val="en-US"/>
        </w:rPr>
        <w:t>Gemini</w:t>
      </w:r>
      <w:r w:rsidRPr="00924C34">
        <w:rPr>
          <w:rStyle w:val="a6"/>
          <w:rFonts w:ascii="Times New Roman" w:hAnsi="Times New Roman"/>
          <w:sz w:val="25"/>
          <w:szCs w:val="25"/>
          <w:lang w:val="en-US"/>
        </w:rPr>
        <w:footnoteReference w:id="9"/>
      </w:r>
      <w:r w:rsidRPr="00924C34">
        <w:rPr>
          <w:rFonts w:ascii="Times New Roman" w:hAnsi="Times New Roman"/>
          <w:sz w:val="25"/>
          <w:szCs w:val="25"/>
        </w:rPr>
        <w:t>, австралийская Independent Reserve</w:t>
      </w:r>
      <w:r w:rsidRPr="00924C34">
        <w:rPr>
          <w:rStyle w:val="a6"/>
          <w:rFonts w:ascii="Times New Roman" w:hAnsi="Times New Roman"/>
          <w:sz w:val="25"/>
          <w:szCs w:val="25"/>
        </w:rPr>
        <w:footnoteReference w:id="10"/>
      </w:r>
      <w:r w:rsidRPr="00924C34">
        <w:rPr>
          <w:rFonts w:ascii="Times New Roman" w:hAnsi="Times New Roman"/>
          <w:sz w:val="25"/>
          <w:szCs w:val="25"/>
        </w:rPr>
        <w:t xml:space="preserve">, страхуют средства своих клиентов и свою ответственность перед клиентами, в том числе в синдикатах </w:t>
      </w:r>
      <w:r w:rsidRPr="00924C34">
        <w:rPr>
          <w:rFonts w:ascii="Times New Roman" w:hAnsi="Times New Roman"/>
          <w:sz w:val="25"/>
          <w:szCs w:val="25"/>
          <w:lang w:val="en-US"/>
        </w:rPr>
        <w:t>Lloyd</w:t>
      </w:r>
      <w:r w:rsidRPr="00924C34">
        <w:rPr>
          <w:rFonts w:ascii="Times New Roman" w:hAnsi="Times New Roman"/>
          <w:sz w:val="25"/>
          <w:szCs w:val="25"/>
        </w:rPr>
        <w:t>`</w:t>
      </w:r>
      <w:r w:rsidRPr="00924C34">
        <w:rPr>
          <w:rFonts w:ascii="Times New Roman" w:hAnsi="Times New Roman"/>
          <w:sz w:val="25"/>
          <w:szCs w:val="25"/>
          <w:lang w:val="en-US"/>
        </w:rPr>
        <w:t>s</w:t>
      </w:r>
      <w:r w:rsidRPr="00924C34">
        <w:rPr>
          <w:rFonts w:ascii="Times New Roman" w:hAnsi="Times New Roman"/>
          <w:sz w:val="25"/>
          <w:szCs w:val="25"/>
        </w:rPr>
        <w:t xml:space="preserve">. Несомненно, что одним из существенных рисков, связанных с оборотом цифровых активов, являются риски, связанные с профессиональной деятельностью оператора информационной платформы и оператора обмена. На международном рынке уже появились продукты, страхующие риски инвесторов. </w:t>
      </w:r>
      <w:r w:rsidRPr="00924C34">
        <w:rPr>
          <w:rFonts w:ascii="Times New Roman" w:hAnsi="Times New Roman"/>
          <w:sz w:val="25"/>
          <w:szCs w:val="25"/>
        </w:rPr>
        <w:tab/>
      </w:r>
    </w:p>
    <w:p w14:paraId="0FD81060" w14:textId="5551C794" w:rsidR="002E17E2" w:rsidRPr="00924C34" w:rsidRDefault="002E17E2" w:rsidP="002E17E2">
      <w:pPr>
        <w:spacing w:before="80" w:after="80"/>
        <w:ind w:firstLine="567"/>
        <w:jc w:val="both"/>
        <w:rPr>
          <w:rFonts w:ascii="Times New Roman" w:hAnsi="Times New Roman" w:cs="Times New Roman"/>
          <w:sz w:val="25"/>
          <w:szCs w:val="25"/>
        </w:rPr>
      </w:pPr>
      <w:r w:rsidRPr="00924C34">
        <w:rPr>
          <w:rFonts w:ascii="Times New Roman" w:hAnsi="Times New Roman"/>
          <w:sz w:val="25"/>
          <w:szCs w:val="25"/>
        </w:rPr>
        <w:tab/>
        <w:t xml:space="preserve">Проект закона о ЦФА также предусматривает ответственность оператора информационной системы за утрату информации об активах и их принадлежности инвесторам, за технические сбои и бесперебойность работы операционной системы (ч.1 ст. 7). Поэтому логично, чтобы одним из способов снижения риска потерь инвесторов при операциях с цифровыми активами стало страхование профессиональной ответственности операторов информационных систем и операторов обмена. На текущий момент проект закона о ЦФА не предусматривает каких-либо требований по управлению рисками с помощью страхования. Сопутствующие услуги и их регулирование в соответствии с мировыми стандартами и опытом, однако, с учетом локальных экономических реалий (депонирование активов, страхование операций и сбережений в них, инвестиций) практически не нашли отражения, но при этом они необходимы для серьезного развития рынка с использованием ЦФА. Вместе с тем, международная практика показывает, что страхование должно стать элементом системы обращения цифровых финансовых активов как механизм повышения уровня безопасности владения цифровыми требованиями за счет снижения кибер-рисков, что также будет способствовать повышению инвестиционной привлекательности цифровых </w:t>
      </w:r>
      <w:r w:rsidRPr="00924C34">
        <w:rPr>
          <w:rFonts w:ascii="Times New Roman" w:hAnsi="Times New Roman" w:cs="Times New Roman"/>
          <w:sz w:val="25"/>
          <w:szCs w:val="25"/>
        </w:rPr>
        <w:t>финансовых активов и защитит простых граждан от возможных потерь. При этом система страхования ЦФА не должна быть обременительна для участников рынка, чтобы не оказывать влияние на увеличение себестоимости выпуска ЦФА, что предполагает осуществление страхования на добровольных основах.</w:t>
      </w:r>
    </w:p>
    <w:p w14:paraId="6EF8FEED" w14:textId="02B2CC36" w:rsidR="002E17E2" w:rsidRPr="00D612FA" w:rsidRDefault="002E17E2" w:rsidP="002E17E2">
      <w:pPr>
        <w:spacing w:before="80" w:after="80"/>
        <w:ind w:firstLine="567"/>
        <w:jc w:val="both"/>
        <w:rPr>
          <w:rFonts w:ascii="Times New Roman" w:hAnsi="Times New Roman" w:cs="Times New Roman"/>
          <w:sz w:val="25"/>
          <w:szCs w:val="25"/>
        </w:rPr>
      </w:pPr>
      <w:r w:rsidRPr="00924C34">
        <w:rPr>
          <w:rFonts w:ascii="Times New Roman" w:hAnsi="Times New Roman" w:cs="Times New Roman"/>
          <w:sz w:val="25"/>
          <w:szCs w:val="25"/>
        </w:rPr>
        <w:tab/>
        <w:t>Таким образом, следует рассмотреть возможность включения в проект закона о ЦФА или в подзаконные акты, положения, позволяющие сформировать условия именно добровольного страхования риска утраты инвестиций в ЦФА в результате противоправных действий третьих лиц и техногенных факторов, а также профессиональной ответственности участников оборота ЦФА.</w:t>
      </w:r>
      <w:r>
        <w:rPr>
          <w:rFonts w:ascii="Times New Roman" w:hAnsi="Times New Roman" w:cs="Times New Roman"/>
          <w:sz w:val="25"/>
          <w:szCs w:val="25"/>
        </w:rPr>
        <w:t xml:space="preserve"> </w:t>
      </w:r>
    </w:p>
    <w:p w14:paraId="0AB4D6E1" w14:textId="77777777" w:rsidR="00485357" w:rsidRDefault="00485357">
      <w:pPr>
        <w:spacing w:before="80" w:after="80"/>
        <w:ind w:firstLine="567"/>
        <w:jc w:val="center"/>
        <w:rPr>
          <w:rFonts w:ascii="Times New Roman" w:hAnsi="Times New Roman"/>
          <w:sz w:val="25"/>
          <w:szCs w:val="25"/>
        </w:rPr>
      </w:pPr>
    </w:p>
    <w:p w14:paraId="4ED877D5" w14:textId="37973E5B" w:rsidR="00F830CC" w:rsidRPr="001E5EF1" w:rsidRDefault="00F830CC" w:rsidP="007E6655">
      <w:pPr>
        <w:spacing w:before="80" w:after="80"/>
        <w:jc w:val="center"/>
        <w:rPr>
          <w:rFonts w:ascii="Times New Roman" w:hAnsi="Times New Roman"/>
          <w:sz w:val="25"/>
          <w:szCs w:val="25"/>
        </w:rPr>
      </w:pPr>
      <w:r w:rsidRPr="001E5EF1">
        <w:rPr>
          <w:rFonts w:ascii="Times New Roman" w:hAnsi="Times New Roman"/>
          <w:sz w:val="25"/>
          <w:szCs w:val="25"/>
        </w:rPr>
        <w:t>V</w:t>
      </w:r>
    </w:p>
    <w:p w14:paraId="37A700C3" w14:textId="1A5BC5CF" w:rsidR="00F830CC" w:rsidRPr="00F830CC" w:rsidRDefault="00D31CE9" w:rsidP="007E6655">
      <w:pPr>
        <w:spacing w:before="80" w:after="80"/>
        <w:jc w:val="center"/>
        <w:rPr>
          <w:rFonts w:ascii="Times New Roman" w:hAnsi="Times New Roman"/>
          <w:i/>
          <w:sz w:val="25"/>
          <w:szCs w:val="25"/>
        </w:rPr>
      </w:pPr>
      <w:r>
        <w:rPr>
          <w:rFonts w:ascii="Times New Roman" w:hAnsi="Times New Roman"/>
          <w:i/>
          <w:sz w:val="25"/>
          <w:szCs w:val="25"/>
        </w:rPr>
        <w:t>Р</w:t>
      </w:r>
      <w:r w:rsidR="00F830CC" w:rsidRPr="00F830CC">
        <w:rPr>
          <w:rFonts w:ascii="Times New Roman" w:hAnsi="Times New Roman"/>
          <w:i/>
          <w:sz w:val="25"/>
          <w:szCs w:val="25"/>
        </w:rPr>
        <w:t>еклам</w:t>
      </w:r>
      <w:r>
        <w:rPr>
          <w:rFonts w:ascii="Times New Roman" w:hAnsi="Times New Roman"/>
          <w:i/>
          <w:sz w:val="25"/>
          <w:szCs w:val="25"/>
        </w:rPr>
        <w:t>а</w:t>
      </w:r>
      <w:r w:rsidR="00F830CC" w:rsidRPr="00F830CC">
        <w:rPr>
          <w:rFonts w:ascii="Times New Roman" w:hAnsi="Times New Roman"/>
          <w:i/>
          <w:sz w:val="25"/>
          <w:szCs w:val="25"/>
        </w:rPr>
        <w:t xml:space="preserve"> ЦФА</w:t>
      </w:r>
    </w:p>
    <w:p w14:paraId="23354D05" w14:textId="77777777" w:rsidR="00F830CC" w:rsidRPr="002E17E2" w:rsidRDefault="00F830CC" w:rsidP="00D40CEF">
      <w:pPr>
        <w:spacing w:before="80" w:after="80"/>
        <w:ind w:firstLine="567"/>
        <w:jc w:val="both"/>
        <w:rPr>
          <w:rFonts w:ascii="Times New Roman" w:hAnsi="Times New Roman" w:cs="Times New Roman"/>
          <w:sz w:val="25"/>
          <w:szCs w:val="25"/>
        </w:rPr>
      </w:pPr>
    </w:p>
    <w:p w14:paraId="1C39D697" w14:textId="1074FC29" w:rsidR="00892615" w:rsidRDefault="00D31CE9" w:rsidP="00D31CE9">
      <w:pPr>
        <w:spacing w:before="80" w:after="80"/>
        <w:ind w:firstLine="567"/>
        <w:jc w:val="both"/>
        <w:rPr>
          <w:rFonts w:ascii="Times New Roman" w:hAnsi="Times New Roman"/>
          <w:sz w:val="25"/>
          <w:szCs w:val="25"/>
        </w:rPr>
      </w:pPr>
      <w:r>
        <w:rPr>
          <w:rFonts w:ascii="Times New Roman" w:hAnsi="Times New Roman"/>
          <w:sz w:val="25"/>
          <w:szCs w:val="25"/>
        </w:rPr>
        <w:lastRenderedPageBreak/>
        <w:t>1.</w:t>
      </w:r>
      <w:r w:rsidR="00892615" w:rsidRPr="00D31CE9">
        <w:rPr>
          <w:rFonts w:ascii="Times New Roman" w:hAnsi="Times New Roman"/>
          <w:sz w:val="25"/>
          <w:szCs w:val="25"/>
        </w:rPr>
        <w:t>В соответствии с</w:t>
      </w:r>
      <w:r w:rsidR="00CB3A89">
        <w:rPr>
          <w:rFonts w:ascii="Times New Roman" w:hAnsi="Times New Roman"/>
          <w:sz w:val="25"/>
          <w:szCs w:val="25"/>
        </w:rPr>
        <w:t xml:space="preserve"> </w:t>
      </w:r>
      <w:r w:rsidR="00892615" w:rsidRPr="00D31CE9">
        <w:rPr>
          <w:rFonts w:ascii="Times New Roman" w:hAnsi="Times New Roman"/>
          <w:sz w:val="25"/>
          <w:szCs w:val="25"/>
        </w:rPr>
        <w:t>законопроект</w:t>
      </w:r>
      <w:r w:rsidR="003A5B9D">
        <w:rPr>
          <w:rFonts w:ascii="Times New Roman" w:hAnsi="Times New Roman"/>
          <w:sz w:val="25"/>
          <w:szCs w:val="25"/>
        </w:rPr>
        <w:t>ом</w:t>
      </w:r>
      <w:r w:rsidR="00892615" w:rsidRPr="00D31CE9">
        <w:rPr>
          <w:rFonts w:ascii="Times New Roman" w:hAnsi="Times New Roman"/>
          <w:sz w:val="25"/>
          <w:szCs w:val="25"/>
        </w:rPr>
        <w:t xml:space="preserve"> о краудфандинге статью 28 ФЗ «О рекламе» предлагается дополнить </w:t>
      </w:r>
      <w:r w:rsidR="000326E0">
        <w:rPr>
          <w:rFonts w:ascii="Times New Roman" w:hAnsi="Times New Roman"/>
          <w:sz w:val="25"/>
          <w:szCs w:val="25"/>
        </w:rPr>
        <w:t>положением,</w:t>
      </w:r>
      <w:r w:rsidR="00892615" w:rsidRPr="00D31CE9">
        <w:rPr>
          <w:rFonts w:ascii="Times New Roman" w:hAnsi="Times New Roman"/>
          <w:sz w:val="25"/>
          <w:szCs w:val="25"/>
        </w:rPr>
        <w:t xml:space="preserve"> согласно которому не допускается реклама, связанная с привлечением инвестиций посредством инвестиционной платформы, если рекламируется так</w:t>
      </w:r>
      <w:r w:rsidR="00676E6D">
        <w:rPr>
          <w:rFonts w:ascii="Times New Roman" w:hAnsi="Times New Roman"/>
          <w:sz w:val="25"/>
          <w:szCs w:val="25"/>
        </w:rPr>
        <w:t>ой</w:t>
      </w:r>
      <w:r w:rsidR="00892615" w:rsidRPr="00D31CE9">
        <w:rPr>
          <w:rFonts w:ascii="Times New Roman" w:hAnsi="Times New Roman"/>
          <w:sz w:val="25"/>
          <w:szCs w:val="25"/>
        </w:rPr>
        <w:t xml:space="preserve"> </w:t>
      </w:r>
      <w:r w:rsidR="00676E6D">
        <w:rPr>
          <w:rFonts w:ascii="Times New Roman" w:hAnsi="Times New Roman"/>
          <w:sz w:val="25"/>
          <w:szCs w:val="25"/>
        </w:rPr>
        <w:t xml:space="preserve">способ инвестиций, как </w:t>
      </w:r>
      <w:r w:rsidR="00892615" w:rsidRPr="00D31CE9">
        <w:rPr>
          <w:rFonts w:ascii="Times New Roman" w:hAnsi="Times New Roman"/>
          <w:sz w:val="25"/>
          <w:szCs w:val="25"/>
        </w:rPr>
        <w:t>приобретени</w:t>
      </w:r>
      <w:r w:rsidR="00676E6D">
        <w:rPr>
          <w:rFonts w:ascii="Times New Roman" w:hAnsi="Times New Roman"/>
          <w:sz w:val="25"/>
          <w:szCs w:val="25"/>
        </w:rPr>
        <w:t>е</w:t>
      </w:r>
      <w:r w:rsidR="00892615" w:rsidRPr="00D31CE9">
        <w:rPr>
          <w:rFonts w:ascii="Times New Roman" w:hAnsi="Times New Roman"/>
          <w:sz w:val="25"/>
          <w:szCs w:val="25"/>
        </w:rPr>
        <w:t xml:space="preserve"> цифровых финансовых активов. В этой связи представляется, что такое положение может привести не только к запрету рекламы </w:t>
      </w:r>
      <w:r w:rsidR="00D02A2A">
        <w:rPr>
          <w:rFonts w:ascii="Times New Roman" w:hAnsi="Times New Roman"/>
          <w:sz w:val="25"/>
          <w:szCs w:val="25"/>
        </w:rPr>
        <w:t xml:space="preserve">инвестирования таким способом на </w:t>
      </w:r>
      <w:r w:rsidR="00892615" w:rsidRPr="00D31CE9">
        <w:rPr>
          <w:rFonts w:ascii="Times New Roman" w:hAnsi="Times New Roman"/>
          <w:sz w:val="25"/>
          <w:szCs w:val="25"/>
        </w:rPr>
        <w:t>краудфандинговых площадк</w:t>
      </w:r>
      <w:r w:rsidR="006153F2">
        <w:rPr>
          <w:rFonts w:ascii="Times New Roman" w:hAnsi="Times New Roman"/>
          <w:sz w:val="25"/>
          <w:szCs w:val="25"/>
        </w:rPr>
        <w:t>ах</w:t>
      </w:r>
      <w:r w:rsidR="00892615" w:rsidRPr="00D31CE9">
        <w:rPr>
          <w:rFonts w:ascii="Times New Roman" w:hAnsi="Times New Roman"/>
          <w:sz w:val="25"/>
          <w:szCs w:val="25"/>
        </w:rPr>
        <w:t xml:space="preserve">, но и самих ЦФА, поскольку по положениям проекта закона о ЦФА любое предложение о приобретении таких прав неопределенным кругом лиц возможно только через соответствующие краудфандинговые площадки. По мнению Комиссии, необходимо определить конкретные способы и виды рекламы, которая запрещается (например, запрещается только реклама, содержащая прямой недвусмысленный призыв к приобретению таких активов), в противном </w:t>
      </w:r>
      <w:r w:rsidR="00E95389" w:rsidRPr="00D31CE9">
        <w:rPr>
          <w:rFonts w:ascii="Times New Roman" w:hAnsi="Times New Roman"/>
          <w:sz w:val="25"/>
          <w:szCs w:val="25"/>
        </w:rPr>
        <w:t>случае существует</w:t>
      </w:r>
      <w:r w:rsidR="00892615" w:rsidRPr="00D31CE9">
        <w:rPr>
          <w:rFonts w:ascii="Times New Roman" w:hAnsi="Times New Roman"/>
          <w:sz w:val="25"/>
          <w:szCs w:val="25"/>
        </w:rPr>
        <w:t xml:space="preserve"> вероятность, что под запрет может попасть любой информационный материал о </w:t>
      </w:r>
      <w:r w:rsidR="0074181E" w:rsidRPr="00D31CE9">
        <w:rPr>
          <w:rFonts w:ascii="Times New Roman" w:hAnsi="Times New Roman"/>
          <w:sz w:val="25"/>
          <w:szCs w:val="25"/>
        </w:rPr>
        <w:t>ЦФА</w:t>
      </w:r>
      <w:r w:rsidR="00892615" w:rsidRPr="00D31CE9">
        <w:rPr>
          <w:rFonts w:ascii="Times New Roman" w:hAnsi="Times New Roman"/>
          <w:sz w:val="25"/>
          <w:szCs w:val="25"/>
        </w:rPr>
        <w:t xml:space="preserve">, в том числе: образовательная и просветительская, а также иная некоммерческая деятельность, юридические другие услуги, </w:t>
      </w:r>
      <w:r w:rsidR="0074181E" w:rsidRPr="00D31CE9">
        <w:rPr>
          <w:rFonts w:ascii="Times New Roman" w:hAnsi="Times New Roman"/>
          <w:sz w:val="25"/>
          <w:szCs w:val="25"/>
        </w:rPr>
        <w:t xml:space="preserve">и </w:t>
      </w:r>
      <w:r w:rsidR="00892615" w:rsidRPr="00D31CE9">
        <w:rPr>
          <w:rFonts w:ascii="Times New Roman" w:hAnsi="Times New Roman"/>
          <w:sz w:val="25"/>
          <w:szCs w:val="25"/>
        </w:rPr>
        <w:t>т.д.</w:t>
      </w:r>
    </w:p>
    <w:p w14:paraId="6BDA12FF" w14:textId="7018ED02" w:rsidR="00D31CE9" w:rsidRPr="00D31CE9" w:rsidRDefault="00D31CE9" w:rsidP="00D31CE9">
      <w:pPr>
        <w:spacing w:before="80" w:after="80"/>
        <w:ind w:firstLine="567"/>
        <w:jc w:val="both"/>
        <w:rPr>
          <w:rFonts w:ascii="Times New Roman" w:hAnsi="Times New Roman"/>
          <w:sz w:val="25"/>
          <w:szCs w:val="25"/>
        </w:rPr>
      </w:pPr>
      <w:r>
        <w:rPr>
          <w:rFonts w:ascii="Times New Roman" w:hAnsi="Times New Roman"/>
          <w:sz w:val="25"/>
          <w:szCs w:val="25"/>
        </w:rPr>
        <w:t>2.</w:t>
      </w:r>
      <w:r w:rsidRPr="00D31CE9">
        <w:rPr>
          <w:rFonts w:ascii="Times New Roman" w:hAnsi="Times New Roman"/>
          <w:sz w:val="25"/>
          <w:szCs w:val="25"/>
        </w:rPr>
        <w:t xml:space="preserve"> </w:t>
      </w:r>
      <w:r w:rsidR="00697110">
        <w:rPr>
          <w:rFonts w:ascii="Times New Roman" w:hAnsi="Times New Roman"/>
          <w:sz w:val="25"/>
          <w:szCs w:val="25"/>
        </w:rPr>
        <w:t>П</w:t>
      </w:r>
      <w:r w:rsidRPr="00D31CE9">
        <w:rPr>
          <w:rFonts w:ascii="Times New Roman" w:hAnsi="Times New Roman"/>
          <w:sz w:val="25"/>
          <w:szCs w:val="25"/>
        </w:rPr>
        <w:t>роект закона о краудфандинге, статья 15 которого предусматривает запрет на рекламу, связанную с привлечением инвестиций посредством инвестиционной платформы посредством цифровых финансовых прав, вступает в противоречие со статьей 14 проекта Закона о ЦФА, которая разрешает такую рекламу с соблюдением определенных условий</w:t>
      </w:r>
      <w:r w:rsidR="002D767B">
        <w:rPr>
          <w:rFonts w:ascii="Times New Roman" w:hAnsi="Times New Roman"/>
          <w:sz w:val="25"/>
          <w:szCs w:val="25"/>
        </w:rPr>
        <w:t>.</w:t>
      </w:r>
    </w:p>
    <w:p w14:paraId="17C3F974" w14:textId="5445848C" w:rsidR="00D31CE9" w:rsidRPr="00D31CE9" w:rsidRDefault="00D31CE9" w:rsidP="00D31CE9">
      <w:pPr>
        <w:spacing w:before="80" w:after="80"/>
        <w:ind w:firstLine="567"/>
        <w:jc w:val="both"/>
        <w:rPr>
          <w:rFonts w:ascii="Times New Roman" w:hAnsi="Times New Roman"/>
          <w:sz w:val="25"/>
          <w:szCs w:val="25"/>
        </w:rPr>
      </w:pPr>
    </w:p>
    <w:p w14:paraId="734D0C1C" w14:textId="77777777" w:rsidR="00FA57BA" w:rsidRDefault="00FA57BA" w:rsidP="00924C34">
      <w:pPr>
        <w:spacing w:before="80" w:after="80"/>
        <w:jc w:val="both"/>
        <w:rPr>
          <w:rFonts w:ascii="Times New Roman" w:hAnsi="Times New Roman"/>
          <w:sz w:val="25"/>
          <w:szCs w:val="25"/>
        </w:rPr>
      </w:pPr>
    </w:p>
    <w:p w14:paraId="2F2593C6" w14:textId="77777777" w:rsidR="00C84B1D" w:rsidRPr="008C276E" w:rsidRDefault="00C84B1D" w:rsidP="00924C34">
      <w:pPr>
        <w:spacing w:before="80" w:after="80"/>
        <w:jc w:val="both"/>
        <w:rPr>
          <w:rFonts w:ascii="Times New Roman" w:hAnsi="Times New Roman"/>
          <w:sz w:val="25"/>
          <w:szCs w:val="25"/>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68"/>
      </w:tblGrid>
      <w:tr w:rsidR="008D4278" w14:paraId="2C947D74" w14:textId="77777777" w:rsidTr="008D4278">
        <w:tc>
          <w:tcPr>
            <w:tcW w:w="4782" w:type="dxa"/>
          </w:tcPr>
          <w:p w14:paraId="25B35329" w14:textId="77777777" w:rsidR="008D4278" w:rsidRDefault="008D4278" w:rsidP="008D4278">
            <w:pPr>
              <w:jc w:val="both"/>
              <w:rPr>
                <w:rFonts w:ascii="Times New Roman" w:hAnsi="Times New Roman"/>
                <w:sz w:val="25"/>
                <w:szCs w:val="25"/>
              </w:rPr>
            </w:pPr>
            <w:r>
              <w:rPr>
                <w:rFonts w:ascii="Times New Roman" w:hAnsi="Times New Roman"/>
                <w:sz w:val="25"/>
                <w:szCs w:val="25"/>
              </w:rPr>
              <w:t>Председатель Комиссии</w:t>
            </w:r>
          </w:p>
        </w:tc>
        <w:tc>
          <w:tcPr>
            <w:tcW w:w="4783" w:type="dxa"/>
          </w:tcPr>
          <w:p w14:paraId="6B8A1D57" w14:textId="77777777" w:rsidR="008D4278" w:rsidRDefault="008D4278" w:rsidP="008D4278">
            <w:pPr>
              <w:jc w:val="right"/>
              <w:rPr>
                <w:rFonts w:ascii="Times New Roman" w:hAnsi="Times New Roman"/>
                <w:sz w:val="25"/>
                <w:szCs w:val="25"/>
              </w:rPr>
            </w:pPr>
            <w:r>
              <w:rPr>
                <w:rFonts w:ascii="Times New Roman" w:hAnsi="Times New Roman"/>
                <w:sz w:val="25"/>
                <w:szCs w:val="25"/>
              </w:rPr>
              <w:t>А.В. Журавлев</w:t>
            </w:r>
          </w:p>
        </w:tc>
      </w:tr>
    </w:tbl>
    <w:p w14:paraId="2CFA5BA3" w14:textId="77777777" w:rsidR="002A2B88" w:rsidRPr="008D4278" w:rsidRDefault="002A2B88" w:rsidP="009F19B4">
      <w:pPr>
        <w:jc w:val="both"/>
        <w:rPr>
          <w:rFonts w:ascii="Times New Roman" w:hAnsi="Times New Roman"/>
          <w:sz w:val="25"/>
          <w:szCs w:val="25"/>
        </w:rPr>
      </w:pPr>
    </w:p>
    <w:sectPr w:rsidR="002A2B88" w:rsidRPr="008D4278" w:rsidSect="00E26B03">
      <w:footerReference w:type="even" r:id="rId15"/>
      <w:footerReference w:type="default" r:id="rId1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F3D49" w14:textId="77777777" w:rsidR="00430D78" w:rsidRDefault="00430D78" w:rsidP="00430456">
      <w:r>
        <w:separator/>
      </w:r>
    </w:p>
  </w:endnote>
  <w:endnote w:type="continuationSeparator" w:id="0">
    <w:p w14:paraId="0C31CD5B" w14:textId="77777777" w:rsidR="00430D78" w:rsidRDefault="00430D78" w:rsidP="0043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CY">
    <w:altName w:val="Calibri"/>
    <w:charset w:val="59"/>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549216842"/>
      <w:docPartObj>
        <w:docPartGallery w:val="Page Numbers (Bottom of Page)"/>
        <w:docPartUnique/>
      </w:docPartObj>
    </w:sdtPr>
    <w:sdtEndPr>
      <w:rPr>
        <w:rStyle w:val="a9"/>
      </w:rPr>
    </w:sdtEndPr>
    <w:sdtContent>
      <w:p w14:paraId="0116CF5F" w14:textId="77777777" w:rsidR="00C84B1D" w:rsidRDefault="00C84B1D" w:rsidP="008D4278">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631E1739" w14:textId="77777777" w:rsidR="00C84B1D" w:rsidRDefault="00C84B1D" w:rsidP="002D122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350768714"/>
      <w:docPartObj>
        <w:docPartGallery w:val="Page Numbers (Bottom of Page)"/>
        <w:docPartUnique/>
      </w:docPartObj>
    </w:sdtPr>
    <w:sdtEndPr>
      <w:rPr>
        <w:rStyle w:val="a9"/>
      </w:rPr>
    </w:sdtEndPr>
    <w:sdtContent>
      <w:p w14:paraId="52E6E926" w14:textId="77777777" w:rsidR="00C84B1D" w:rsidRDefault="00C84B1D" w:rsidP="008D4278">
        <w:pPr>
          <w:pStyle w:val="a7"/>
          <w:framePr w:wrap="none" w:vAnchor="text" w:hAnchor="margin" w:xAlign="right" w:y="1"/>
          <w:rPr>
            <w:rStyle w:val="a9"/>
          </w:rPr>
        </w:pPr>
        <w:r w:rsidRPr="00BE7BD2">
          <w:rPr>
            <w:rStyle w:val="a9"/>
            <w:rFonts w:ascii="Times New Roman" w:hAnsi="Times New Roman" w:cs="Times New Roman"/>
            <w:sz w:val="18"/>
            <w:szCs w:val="18"/>
          </w:rPr>
          <w:fldChar w:fldCharType="begin"/>
        </w:r>
        <w:r w:rsidRPr="00BE7BD2">
          <w:rPr>
            <w:rStyle w:val="a9"/>
            <w:rFonts w:ascii="Times New Roman" w:hAnsi="Times New Roman" w:cs="Times New Roman"/>
            <w:sz w:val="18"/>
            <w:szCs w:val="18"/>
          </w:rPr>
          <w:instrText xml:space="preserve"> PAGE </w:instrText>
        </w:r>
        <w:r w:rsidRPr="00BE7BD2">
          <w:rPr>
            <w:rStyle w:val="a9"/>
            <w:rFonts w:ascii="Times New Roman" w:hAnsi="Times New Roman" w:cs="Times New Roman"/>
            <w:sz w:val="18"/>
            <w:szCs w:val="18"/>
          </w:rPr>
          <w:fldChar w:fldCharType="separate"/>
        </w:r>
        <w:r w:rsidR="0021463A">
          <w:rPr>
            <w:rStyle w:val="a9"/>
            <w:rFonts w:ascii="Times New Roman" w:hAnsi="Times New Roman" w:cs="Times New Roman"/>
            <w:noProof/>
            <w:sz w:val="18"/>
            <w:szCs w:val="18"/>
          </w:rPr>
          <w:t>3</w:t>
        </w:r>
        <w:r w:rsidRPr="00BE7BD2">
          <w:rPr>
            <w:rStyle w:val="a9"/>
            <w:rFonts w:ascii="Times New Roman" w:hAnsi="Times New Roman" w:cs="Times New Roman"/>
            <w:sz w:val="18"/>
            <w:szCs w:val="18"/>
          </w:rPr>
          <w:fldChar w:fldCharType="end"/>
        </w:r>
      </w:p>
    </w:sdtContent>
  </w:sdt>
  <w:p w14:paraId="7F8B2EEB" w14:textId="77777777" w:rsidR="00C84B1D" w:rsidRDefault="00C84B1D" w:rsidP="002D122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B21DE" w14:textId="77777777" w:rsidR="00430D78" w:rsidRDefault="00430D78" w:rsidP="00430456">
      <w:r>
        <w:separator/>
      </w:r>
    </w:p>
  </w:footnote>
  <w:footnote w:type="continuationSeparator" w:id="0">
    <w:p w14:paraId="2E976785" w14:textId="77777777" w:rsidR="00430D78" w:rsidRDefault="00430D78" w:rsidP="00430456">
      <w:r>
        <w:continuationSeparator/>
      </w:r>
    </w:p>
  </w:footnote>
  <w:footnote w:id="1">
    <w:p w14:paraId="71D63E2B" w14:textId="77777777" w:rsidR="00C84B1D" w:rsidRPr="007739BB" w:rsidRDefault="00C84B1D" w:rsidP="0037111A">
      <w:pPr>
        <w:pStyle w:val="a3"/>
        <w:ind w:left="0"/>
        <w:jc w:val="both"/>
        <w:rPr>
          <w:rStyle w:val="af0"/>
          <w:rFonts w:ascii="Times New Roman" w:hAnsi="Times New Roman" w:cs="Times New Roman"/>
          <w:color w:val="000000" w:themeColor="text1"/>
          <w:sz w:val="18"/>
          <w:szCs w:val="18"/>
          <w:u w:val="none"/>
          <w:shd w:val="clear" w:color="auto" w:fill="FFFFFF"/>
        </w:rPr>
      </w:pPr>
      <w:r w:rsidRPr="007739BB">
        <w:rPr>
          <w:rStyle w:val="a6"/>
          <w:rFonts w:ascii="Times New Roman" w:hAnsi="Times New Roman" w:cs="Times New Roman"/>
          <w:sz w:val="18"/>
          <w:szCs w:val="18"/>
        </w:rPr>
        <w:footnoteRef/>
      </w:r>
      <w:r w:rsidRPr="007739BB">
        <w:rPr>
          <w:rFonts w:ascii="Times New Roman" w:hAnsi="Times New Roman" w:cs="Times New Roman"/>
          <w:sz w:val="18"/>
          <w:szCs w:val="18"/>
        </w:rPr>
        <w:t xml:space="preserve"> </w:t>
      </w:r>
      <w:hyperlink r:id="rId1" w:tgtFrame="_blank" w:history="1">
        <w:r w:rsidRPr="007739BB">
          <w:rPr>
            <w:rStyle w:val="af0"/>
            <w:rFonts w:ascii="Times New Roman" w:hAnsi="Times New Roman" w:cs="Times New Roman"/>
            <w:color w:val="000000" w:themeColor="text1"/>
            <w:sz w:val="18"/>
            <w:szCs w:val="18"/>
            <w:u w:val="none"/>
            <w:shd w:val="clear" w:color="auto" w:fill="FFFFFF"/>
          </w:rPr>
          <w:t>Федеральный закон от 18.03.2019 № 34-ФЗ «О внесении изменений в части первую, вторую и статью 1124 части третьей Гражданского кодекса Российской Федерации».</w:t>
        </w:r>
      </w:hyperlink>
    </w:p>
    <w:p w14:paraId="1E58C111" w14:textId="6A81F948" w:rsidR="00C84B1D" w:rsidRPr="007739BB" w:rsidRDefault="00C84B1D" w:rsidP="0037111A">
      <w:pPr>
        <w:pStyle w:val="a4"/>
        <w:tabs>
          <w:tab w:val="left" w:pos="2220"/>
        </w:tabs>
        <w:rPr>
          <w:rFonts w:ascii="Times New Roman" w:hAnsi="Times New Roman" w:cs="Times New Roman"/>
          <w:sz w:val="18"/>
          <w:szCs w:val="18"/>
        </w:rPr>
      </w:pPr>
      <w:r w:rsidRPr="007739BB">
        <w:rPr>
          <w:rFonts w:ascii="Times New Roman" w:hAnsi="Times New Roman" w:cs="Times New Roman"/>
          <w:sz w:val="18"/>
          <w:szCs w:val="18"/>
        </w:rPr>
        <w:tab/>
      </w:r>
    </w:p>
  </w:footnote>
  <w:footnote w:id="2">
    <w:p w14:paraId="0DD9F3C1" w14:textId="1E9594D5" w:rsidR="00C84B1D" w:rsidRPr="007739BB" w:rsidRDefault="00C84B1D" w:rsidP="0037111A">
      <w:pPr>
        <w:pStyle w:val="a3"/>
        <w:ind w:left="0"/>
        <w:jc w:val="both"/>
        <w:rPr>
          <w:rStyle w:val="a6"/>
          <w:rFonts w:ascii="Times New Roman" w:hAnsi="Times New Roman" w:cs="Times New Roman"/>
          <w:sz w:val="18"/>
          <w:szCs w:val="18"/>
          <w:vertAlign w:val="baseline"/>
        </w:rPr>
      </w:pPr>
      <w:r w:rsidRPr="007739BB">
        <w:rPr>
          <w:rStyle w:val="a6"/>
          <w:rFonts w:ascii="Times New Roman" w:hAnsi="Times New Roman" w:cs="Times New Roman"/>
          <w:sz w:val="18"/>
          <w:szCs w:val="18"/>
          <w:vertAlign w:val="baseline"/>
        </w:rPr>
        <w:footnoteRef/>
      </w:r>
      <w:r w:rsidRPr="007739BB">
        <w:rPr>
          <w:rStyle w:val="a6"/>
          <w:rFonts w:ascii="Times New Roman" w:hAnsi="Times New Roman" w:cs="Times New Roman"/>
          <w:sz w:val="18"/>
          <w:szCs w:val="18"/>
          <w:vertAlign w:val="baseline"/>
        </w:rPr>
        <w:t xml:space="preserve"> Постановление Девятого Арбитражного Апелляционного суда по делу </w:t>
      </w:r>
      <w:r w:rsidRPr="007739BB">
        <w:rPr>
          <w:rFonts w:ascii="Times New Roman" w:hAnsi="Times New Roman" w:cs="Times New Roman"/>
          <w:sz w:val="18"/>
          <w:szCs w:val="18"/>
        </w:rPr>
        <w:t xml:space="preserve">№ </w:t>
      </w:r>
      <w:r w:rsidRPr="007739BB">
        <w:rPr>
          <w:rStyle w:val="a6"/>
          <w:rFonts w:ascii="Times New Roman" w:hAnsi="Times New Roman" w:cs="Times New Roman"/>
          <w:sz w:val="18"/>
          <w:szCs w:val="18"/>
          <w:vertAlign w:val="baseline"/>
        </w:rPr>
        <w:t>А40-124668/2017 от 15.05.2018</w:t>
      </w:r>
    </w:p>
    <w:p w14:paraId="55D374B6" w14:textId="795E3EED" w:rsidR="00C84B1D" w:rsidRPr="007739BB" w:rsidRDefault="00C84B1D">
      <w:pPr>
        <w:pStyle w:val="a4"/>
        <w:rPr>
          <w:rFonts w:ascii="Times New Roman" w:hAnsi="Times New Roman" w:cs="Times New Roman"/>
          <w:sz w:val="18"/>
          <w:szCs w:val="18"/>
        </w:rPr>
      </w:pPr>
    </w:p>
  </w:footnote>
  <w:footnote w:id="3">
    <w:p w14:paraId="01DAF596" w14:textId="37800A44" w:rsidR="00C84B1D" w:rsidRPr="007739BB" w:rsidRDefault="00C84B1D">
      <w:pPr>
        <w:pStyle w:val="a4"/>
        <w:rPr>
          <w:rFonts w:ascii="Times New Roman" w:hAnsi="Times New Roman" w:cs="Times New Roman"/>
          <w:sz w:val="18"/>
          <w:szCs w:val="18"/>
        </w:rPr>
      </w:pPr>
      <w:r w:rsidRPr="007739BB">
        <w:rPr>
          <w:rStyle w:val="a6"/>
          <w:rFonts w:ascii="Times New Roman" w:hAnsi="Times New Roman" w:cs="Times New Roman"/>
          <w:sz w:val="18"/>
          <w:szCs w:val="18"/>
        </w:rPr>
        <w:footnoteRef/>
      </w:r>
      <w:r w:rsidRPr="007739BB">
        <w:rPr>
          <w:rFonts w:ascii="Times New Roman" w:hAnsi="Times New Roman" w:cs="Times New Roman"/>
          <w:sz w:val="18"/>
          <w:szCs w:val="18"/>
        </w:rPr>
        <w:t xml:space="preserve"> Решение Куйбышевского районного суда г. Омска от 25.06.2018 по делу № 2а-2861/2018 </w:t>
      </w:r>
    </w:p>
    <w:p w14:paraId="081C36E0" w14:textId="77777777" w:rsidR="00C84B1D" w:rsidRPr="007739BB" w:rsidRDefault="00C84B1D">
      <w:pPr>
        <w:pStyle w:val="a4"/>
        <w:rPr>
          <w:rFonts w:ascii="Times New Roman" w:hAnsi="Times New Roman" w:cs="Times New Roman"/>
          <w:sz w:val="18"/>
          <w:szCs w:val="18"/>
        </w:rPr>
      </w:pPr>
    </w:p>
  </w:footnote>
  <w:footnote w:id="4">
    <w:p w14:paraId="5196CE9F" w14:textId="762B290C" w:rsidR="00C84B1D" w:rsidRPr="007739BB" w:rsidRDefault="00C84B1D">
      <w:pPr>
        <w:pStyle w:val="a4"/>
        <w:rPr>
          <w:rFonts w:ascii="Times New Roman" w:hAnsi="Times New Roman" w:cs="Times New Roman"/>
          <w:sz w:val="18"/>
          <w:szCs w:val="18"/>
        </w:rPr>
      </w:pPr>
      <w:r w:rsidRPr="007739BB">
        <w:rPr>
          <w:rStyle w:val="a6"/>
          <w:rFonts w:ascii="Times New Roman" w:hAnsi="Times New Roman" w:cs="Times New Roman"/>
          <w:sz w:val="18"/>
          <w:szCs w:val="18"/>
        </w:rPr>
        <w:footnoteRef/>
      </w:r>
      <w:r w:rsidRPr="007739BB">
        <w:rPr>
          <w:rFonts w:ascii="Times New Roman" w:hAnsi="Times New Roman" w:cs="Times New Roman"/>
          <w:sz w:val="18"/>
          <w:szCs w:val="18"/>
        </w:rPr>
        <w:t xml:space="preserve"> Экспертное заключение Совета, принятое на заседании 17.01.2019 № 183-1/2019</w:t>
      </w:r>
    </w:p>
  </w:footnote>
  <w:footnote w:id="5">
    <w:p w14:paraId="58FC1CF8" w14:textId="0A576773" w:rsidR="00C84B1D" w:rsidRDefault="00C84B1D">
      <w:pPr>
        <w:pStyle w:val="a4"/>
        <w:rPr>
          <w:rFonts w:ascii="Times New Roman" w:hAnsi="Times New Roman" w:cs="Times New Roman"/>
        </w:rPr>
      </w:pPr>
      <w:r w:rsidRPr="00276982">
        <w:rPr>
          <w:rStyle w:val="a6"/>
          <w:rFonts w:ascii="Times New Roman" w:hAnsi="Times New Roman" w:cs="Times New Roman"/>
        </w:rPr>
        <w:footnoteRef/>
      </w:r>
      <w:r w:rsidRPr="00276982">
        <w:rPr>
          <w:rFonts w:ascii="Times New Roman" w:hAnsi="Times New Roman" w:cs="Times New Roman"/>
        </w:rPr>
        <w:t xml:space="preserve"> </w:t>
      </w:r>
      <w:hyperlink r:id="rId2" w:history="1">
        <w:r w:rsidRPr="00276982">
          <w:rPr>
            <w:rStyle w:val="af0"/>
            <w:rFonts w:ascii="Times New Roman" w:hAnsi="Times New Roman" w:cs="Times New Roman"/>
            <w:sz w:val="18"/>
            <w:szCs w:val="18"/>
          </w:rPr>
          <w:t>https://pravo.ru/story/200326/</w:t>
        </w:r>
      </w:hyperlink>
      <w:r w:rsidRPr="00276982">
        <w:rPr>
          <w:rFonts w:ascii="Times New Roman" w:hAnsi="Times New Roman" w:cs="Times New Roman"/>
        </w:rPr>
        <w:t xml:space="preserve"> </w:t>
      </w:r>
      <w:r>
        <w:rPr>
          <w:rFonts w:ascii="Times New Roman" w:hAnsi="Times New Roman" w:cs="Times New Roman"/>
        </w:rPr>
        <w:t xml:space="preserve"> и </w:t>
      </w:r>
      <w:hyperlink r:id="rId3" w:anchor="page269" w:history="1">
        <w:r w:rsidRPr="00503C17">
          <w:rPr>
            <w:rStyle w:val="af0"/>
            <w:rFonts w:ascii="Times New Roman" w:hAnsi="Times New Roman" w:cs="Times New Roman"/>
          </w:rPr>
          <w:t>https://www.americanbar.org/content/dam/aba/administrative/business_law/buslaw/committees/CL620000pub/digital_assets.pdf#page269</w:t>
        </w:r>
      </w:hyperlink>
      <w:r>
        <w:rPr>
          <w:rFonts w:ascii="Times New Roman" w:hAnsi="Times New Roman" w:cs="Times New Roman"/>
        </w:rPr>
        <w:t xml:space="preserve"> </w:t>
      </w:r>
    </w:p>
    <w:p w14:paraId="562851DC" w14:textId="77777777" w:rsidR="00C84B1D" w:rsidRPr="00B36383" w:rsidRDefault="00C84B1D">
      <w:pPr>
        <w:pStyle w:val="a4"/>
        <w:rPr>
          <w:rFonts w:ascii="Times New Roman" w:hAnsi="Times New Roman" w:cs="Times New Roman"/>
        </w:rPr>
      </w:pPr>
    </w:p>
  </w:footnote>
  <w:footnote w:id="6">
    <w:p w14:paraId="3DAD9E1B" w14:textId="25B3050F" w:rsidR="00C84B1D" w:rsidRPr="009F19B4" w:rsidRDefault="00C84B1D">
      <w:pPr>
        <w:pStyle w:val="a4"/>
        <w:rPr>
          <w:rFonts w:ascii="Times New Roman" w:hAnsi="Times New Roman" w:cs="Times New Roman"/>
          <w:sz w:val="18"/>
          <w:szCs w:val="18"/>
        </w:rPr>
      </w:pPr>
      <w:r w:rsidRPr="009F19B4">
        <w:rPr>
          <w:rStyle w:val="a6"/>
          <w:rFonts w:ascii="Times New Roman" w:hAnsi="Times New Roman" w:cs="Times New Roman"/>
          <w:sz w:val="18"/>
          <w:szCs w:val="18"/>
        </w:rPr>
        <w:footnoteRef/>
      </w:r>
      <w:r w:rsidRPr="009F19B4">
        <w:rPr>
          <w:rFonts w:ascii="Times New Roman" w:hAnsi="Times New Roman" w:cs="Times New Roman"/>
          <w:sz w:val="18"/>
          <w:szCs w:val="18"/>
        </w:rPr>
        <w:t xml:space="preserve"> </w:t>
      </w:r>
      <w:hyperlink r:id="rId4" w:history="1">
        <w:r w:rsidRPr="009F19B4">
          <w:rPr>
            <w:rStyle w:val="af0"/>
            <w:rFonts w:ascii="Times New Roman" w:hAnsi="Times New Roman" w:cs="Times New Roman"/>
            <w:sz w:val="18"/>
            <w:szCs w:val="18"/>
          </w:rPr>
          <w:t>https://medium.com/blockdata/not-just-silk-road-major-retail-and-service-providers-that-accept-crypto-eba60aff7f2b</w:t>
        </w:r>
      </w:hyperlink>
    </w:p>
  </w:footnote>
  <w:footnote w:id="7">
    <w:p w14:paraId="66D34387" w14:textId="77777777" w:rsidR="00C84B1D" w:rsidRPr="00706208" w:rsidRDefault="00C84B1D" w:rsidP="008F5F38">
      <w:pPr>
        <w:pStyle w:val="a4"/>
        <w:rPr>
          <w:rFonts w:ascii="Times New Roman" w:hAnsi="Times New Roman" w:cs="Times New Roman"/>
          <w:sz w:val="18"/>
          <w:szCs w:val="18"/>
        </w:rPr>
      </w:pPr>
      <w:r w:rsidRPr="00706208">
        <w:rPr>
          <w:rStyle w:val="a6"/>
          <w:rFonts w:ascii="Times New Roman" w:hAnsi="Times New Roman" w:cs="Times New Roman"/>
          <w:sz w:val="18"/>
          <w:szCs w:val="18"/>
        </w:rPr>
        <w:footnoteRef/>
      </w:r>
      <w:r w:rsidRPr="00706208">
        <w:rPr>
          <w:rFonts w:ascii="Times New Roman" w:hAnsi="Times New Roman" w:cs="Times New Roman"/>
          <w:sz w:val="18"/>
          <w:szCs w:val="18"/>
        </w:rPr>
        <w:t xml:space="preserve"> </w:t>
      </w:r>
      <w:hyperlink r:id="rId5" w:history="1">
        <w:r w:rsidRPr="00706208">
          <w:rPr>
            <w:rStyle w:val="af0"/>
            <w:rFonts w:ascii="Times New Roman" w:hAnsi="Times New Roman" w:cs="Times New Roman"/>
            <w:sz w:val="18"/>
            <w:szCs w:val="18"/>
          </w:rPr>
          <w:t>https://www.coindesk.com/2018-a-record-breaking-year-for-crypto-exchange-hacks</w:t>
        </w:r>
      </w:hyperlink>
    </w:p>
  </w:footnote>
  <w:footnote w:id="8">
    <w:p w14:paraId="6158B1F2" w14:textId="590FDBB2" w:rsidR="00C84B1D" w:rsidRPr="00B36383" w:rsidRDefault="00C84B1D" w:rsidP="002E17E2">
      <w:pPr>
        <w:pStyle w:val="a4"/>
        <w:rPr>
          <w:rFonts w:ascii="Times New Roman" w:hAnsi="Times New Roman" w:cs="Times New Roman"/>
          <w:sz w:val="18"/>
          <w:szCs w:val="18"/>
        </w:rPr>
      </w:pPr>
      <w:r w:rsidRPr="00BE7BD2">
        <w:rPr>
          <w:rStyle w:val="a6"/>
          <w:rFonts w:ascii="Times New Roman" w:hAnsi="Times New Roman" w:cs="Times New Roman"/>
          <w:sz w:val="18"/>
          <w:szCs w:val="18"/>
        </w:rPr>
        <w:footnoteRef/>
      </w:r>
      <w:r w:rsidRPr="00BE7BD2">
        <w:rPr>
          <w:rFonts w:ascii="Times New Roman" w:hAnsi="Times New Roman" w:cs="Times New Roman"/>
          <w:sz w:val="18"/>
          <w:szCs w:val="18"/>
        </w:rPr>
        <w:t xml:space="preserve"> </w:t>
      </w:r>
      <w:hyperlink r:id="rId6" w:history="1">
        <w:r w:rsidRPr="00503C17">
          <w:rPr>
            <w:rStyle w:val="af0"/>
            <w:rFonts w:ascii="Times New Roman" w:hAnsi="Times New Roman" w:cs="Times New Roman"/>
            <w:sz w:val="18"/>
            <w:szCs w:val="18"/>
          </w:rPr>
          <w:t>https://blog.coinbase.com/on-insurance-and-cryptocurrency-d6db86ba40bd</w:t>
        </w:r>
      </w:hyperlink>
      <w:r>
        <w:rPr>
          <w:rFonts w:ascii="Times New Roman" w:hAnsi="Times New Roman" w:cs="Times New Roman"/>
          <w:sz w:val="18"/>
          <w:szCs w:val="18"/>
        </w:rPr>
        <w:t xml:space="preserve"> </w:t>
      </w:r>
    </w:p>
  </w:footnote>
  <w:footnote w:id="9">
    <w:p w14:paraId="22AF87D4" w14:textId="715F7518" w:rsidR="00C84B1D" w:rsidRPr="00BE7BD2" w:rsidRDefault="00C84B1D" w:rsidP="002E17E2">
      <w:pPr>
        <w:pStyle w:val="a4"/>
        <w:rPr>
          <w:rFonts w:ascii="Times New Roman" w:hAnsi="Times New Roman" w:cs="Times New Roman"/>
          <w:sz w:val="18"/>
          <w:szCs w:val="18"/>
        </w:rPr>
      </w:pPr>
      <w:r w:rsidRPr="00BE7BD2">
        <w:rPr>
          <w:rStyle w:val="a6"/>
          <w:rFonts w:ascii="Times New Roman" w:hAnsi="Times New Roman" w:cs="Times New Roman"/>
          <w:sz w:val="18"/>
          <w:szCs w:val="18"/>
        </w:rPr>
        <w:footnoteRef/>
      </w:r>
      <w:r w:rsidRPr="00BE7BD2">
        <w:rPr>
          <w:rFonts w:ascii="Times New Roman" w:hAnsi="Times New Roman" w:cs="Times New Roman"/>
          <w:sz w:val="18"/>
          <w:szCs w:val="18"/>
        </w:rPr>
        <w:t xml:space="preserve"> </w:t>
      </w:r>
      <w:hyperlink r:id="rId7" w:history="1">
        <w:r w:rsidRPr="00503C17">
          <w:rPr>
            <w:rStyle w:val="af0"/>
            <w:rFonts w:ascii="Times New Roman" w:hAnsi="Times New Roman" w:cs="Times New Roman"/>
            <w:sz w:val="18"/>
            <w:szCs w:val="18"/>
          </w:rPr>
          <w:t>https://www.businesswire.com/news/home/20181003005283/en/</w:t>
        </w:r>
      </w:hyperlink>
      <w:r>
        <w:rPr>
          <w:rFonts w:ascii="Times New Roman" w:hAnsi="Times New Roman" w:cs="Times New Roman"/>
          <w:sz w:val="18"/>
          <w:szCs w:val="18"/>
        </w:rPr>
        <w:t xml:space="preserve"> </w:t>
      </w:r>
    </w:p>
  </w:footnote>
  <w:footnote w:id="10">
    <w:p w14:paraId="42FA8D9B" w14:textId="21ADB390" w:rsidR="00C84B1D" w:rsidRPr="00BE7BD2" w:rsidRDefault="00C84B1D" w:rsidP="002E17E2">
      <w:pPr>
        <w:pStyle w:val="a4"/>
        <w:rPr>
          <w:rFonts w:ascii="Times New Roman" w:hAnsi="Times New Roman" w:cs="Times New Roman"/>
          <w:sz w:val="18"/>
          <w:szCs w:val="18"/>
        </w:rPr>
      </w:pPr>
      <w:r w:rsidRPr="00BE7BD2">
        <w:rPr>
          <w:rStyle w:val="a6"/>
          <w:rFonts w:ascii="Times New Roman" w:hAnsi="Times New Roman" w:cs="Times New Roman"/>
          <w:sz w:val="18"/>
          <w:szCs w:val="18"/>
        </w:rPr>
        <w:footnoteRef/>
      </w:r>
      <w:r w:rsidRPr="00BE7BD2">
        <w:rPr>
          <w:rFonts w:ascii="Times New Roman" w:hAnsi="Times New Roman" w:cs="Times New Roman"/>
          <w:sz w:val="18"/>
          <w:szCs w:val="18"/>
        </w:rPr>
        <w:t xml:space="preserve"> </w:t>
      </w:r>
      <w:hyperlink r:id="rId8" w:history="1">
        <w:r w:rsidRPr="00503C17">
          <w:rPr>
            <w:rStyle w:val="af0"/>
            <w:rFonts w:ascii="Times New Roman" w:hAnsi="Times New Roman" w:cs="Times New Roman"/>
            <w:sz w:val="18"/>
            <w:szCs w:val="18"/>
          </w:rPr>
          <w:t>https://cryptovod.ru/lloyd-s-of-london-nachal-strahovat-kriptoaktivyi-polzovateley-birzhi-independent-reserve/</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20AE4"/>
    <w:multiLevelType w:val="hybridMultilevel"/>
    <w:tmpl w:val="189EAA2C"/>
    <w:lvl w:ilvl="0" w:tplc="6DC0DA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CD58E8"/>
    <w:multiLevelType w:val="hybridMultilevel"/>
    <w:tmpl w:val="66E830BA"/>
    <w:lvl w:ilvl="0" w:tplc="A6DCD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DD377F"/>
    <w:multiLevelType w:val="hybridMultilevel"/>
    <w:tmpl w:val="B6AA0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A82019"/>
    <w:multiLevelType w:val="hybridMultilevel"/>
    <w:tmpl w:val="88942E92"/>
    <w:lvl w:ilvl="0" w:tplc="1E48014E">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8397FE6"/>
    <w:multiLevelType w:val="hybridMultilevel"/>
    <w:tmpl w:val="CD606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1B712A6"/>
    <w:multiLevelType w:val="hybridMultilevel"/>
    <w:tmpl w:val="25E29778"/>
    <w:lvl w:ilvl="0" w:tplc="801C12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C391409"/>
    <w:multiLevelType w:val="hybridMultilevel"/>
    <w:tmpl w:val="2D7C6F96"/>
    <w:lvl w:ilvl="0" w:tplc="FE06E066">
      <w:start w:val="1"/>
      <w:numFmt w:val="decimal"/>
      <w:lvlText w:val="%1)"/>
      <w:lvlJc w:val="left"/>
      <w:pPr>
        <w:ind w:left="720" w:hanging="360"/>
      </w:pPr>
      <w:rPr>
        <w:rFonts w:ascii="Georgia" w:hAnsi="Georgia" w:hint="default"/>
        <w:color w:val="333333"/>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1B7533"/>
    <w:multiLevelType w:val="hybridMultilevel"/>
    <w:tmpl w:val="83D04782"/>
    <w:lvl w:ilvl="0" w:tplc="53C292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E86"/>
    <w:rsid w:val="00007CAE"/>
    <w:rsid w:val="00015320"/>
    <w:rsid w:val="00023668"/>
    <w:rsid w:val="00031265"/>
    <w:rsid w:val="000326E0"/>
    <w:rsid w:val="00032E65"/>
    <w:rsid w:val="0007581B"/>
    <w:rsid w:val="00080D20"/>
    <w:rsid w:val="000827C2"/>
    <w:rsid w:val="000859C4"/>
    <w:rsid w:val="000A7618"/>
    <w:rsid w:val="000B07DB"/>
    <w:rsid w:val="000B5045"/>
    <w:rsid w:val="000B6012"/>
    <w:rsid w:val="0011591E"/>
    <w:rsid w:val="00124655"/>
    <w:rsid w:val="00162F93"/>
    <w:rsid w:val="001729E0"/>
    <w:rsid w:val="0018193C"/>
    <w:rsid w:val="00181E5F"/>
    <w:rsid w:val="00194552"/>
    <w:rsid w:val="001B17E0"/>
    <w:rsid w:val="001D3F78"/>
    <w:rsid w:val="001D772E"/>
    <w:rsid w:val="001E4269"/>
    <w:rsid w:val="001E5EF1"/>
    <w:rsid w:val="001F7E86"/>
    <w:rsid w:val="00204758"/>
    <w:rsid w:val="002063BA"/>
    <w:rsid w:val="0021463A"/>
    <w:rsid w:val="00215B09"/>
    <w:rsid w:val="00243839"/>
    <w:rsid w:val="00246741"/>
    <w:rsid w:val="0025338C"/>
    <w:rsid w:val="00256883"/>
    <w:rsid w:val="002575DD"/>
    <w:rsid w:val="00274F6F"/>
    <w:rsid w:val="00276982"/>
    <w:rsid w:val="00285CEC"/>
    <w:rsid w:val="00287CFC"/>
    <w:rsid w:val="002A2B88"/>
    <w:rsid w:val="002A5298"/>
    <w:rsid w:val="002B161D"/>
    <w:rsid w:val="002D03FA"/>
    <w:rsid w:val="002D122A"/>
    <w:rsid w:val="002D25CC"/>
    <w:rsid w:val="002D58EF"/>
    <w:rsid w:val="002D767B"/>
    <w:rsid w:val="002E17E2"/>
    <w:rsid w:val="002F53A8"/>
    <w:rsid w:val="002F6290"/>
    <w:rsid w:val="00321BBC"/>
    <w:rsid w:val="003430E2"/>
    <w:rsid w:val="00363DC4"/>
    <w:rsid w:val="0037111A"/>
    <w:rsid w:val="0038429F"/>
    <w:rsid w:val="003A5B9D"/>
    <w:rsid w:val="003D517F"/>
    <w:rsid w:val="003E2BFD"/>
    <w:rsid w:val="003F4207"/>
    <w:rsid w:val="00403560"/>
    <w:rsid w:val="00403B6D"/>
    <w:rsid w:val="00425466"/>
    <w:rsid w:val="00430456"/>
    <w:rsid w:val="00430D78"/>
    <w:rsid w:val="00433884"/>
    <w:rsid w:val="00437F3D"/>
    <w:rsid w:val="00447203"/>
    <w:rsid w:val="004536BA"/>
    <w:rsid w:val="00455B44"/>
    <w:rsid w:val="00485357"/>
    <w:rsid w:val="00490684"/>
    <w:rsid w:val="004A67F8"/>
    <w:rsid w:val="004B5429"/>
    <w:rsid w:val="004D59B0"/>
    <w:rsid w:val="004D7A70"/>
    <w:rsid w:val="004E13DA"/>
    <w:rsid w:val="004F13C2"/>
    <w:rsid w:val="005037C9"/>
    <w:rsid w:val="00533104"/>
    <w:rsid w:val="00534013"/>
    <w:rsid w:val="00535BB8"/>
    <w:rsid w:val="005411AC"/>
    <w:rsid w:val="00541BD6"/>
    <w:rsid w:val="00561848"/>
    <w:rsid w:val="0057087D"/>
    <w:rsid w:val="0058154E"/>
    <w:rsid w:val="005915B7"/>
    <w:rsid w:val="0059527A"/>
    <w:rsid w:val="005B27EC"/>
    <w:rsid w:val="005B3487"/>
    <w:rsid w:val="005D4A81"/>
    <w:rsid w:val="00610753"/>
    <w:rsid w:val="006153F2"/>
    <w:rsid w:val="006207D4"/>
    <w:rsid w:val="00626247"/>
    <w:rsid w:val="00627E68"/>
    <w:rsid w:val="006434BA"/>
    <w:rsid w:val="00651F0E"/>
    <w:rsid w:val="0065442D"/>
    <w:rsid w:val="006708F3"/>
    <w:rsid w:val="0067579E"/>
    <w:rsid w:val="00676E6D"/>
    <w:rsid w:val="00691D56"/>
    <w:rsid w:val="00697110"/>
    <w:rsid w:val="006A7765"/>
    <w:rsid w:val="006B3064"/>
    <w:rsid w:val="006B5845"/>
    <w:rsid w:val="006D02F1"/>
    <w:rsid w:val="006D1E15"/>
    <w:rsid w:val="006D4706"/>
    <w:rsid w:val="006D5BFE"/>
    <w:rsid w:val="006E2C46"/>
    <w:rsid w:val="006E76CE"/>
    <w:rsid w:val="006F5B13"/>
    <w:rsid w:val="006F7190"/>
    <w:rsid w:val="00706208"/>
    <w:rsid w:val="00721BE2"/>
    <w:rsid w:val="00730F32"/>
    <w:rsid w:val="0074181E"/>
    <w:rsid w:val="00745BD7"/>
    <w:rsid w:val="00754355"/>
    <w:rsid w:val="00756A10"/>
    <w:rsid w:val="00761137"/>
    <w:rsid w:val="00771411"/>
    <w:rsid w:val="007739BB"/>
    <w:rsid w:val="007750AB"/>
    <w:rsid w:val="00793941"/>
    <w:rsid w:val="007C5605"/>
    <w:rsid w:val="007E0F2D"/>
    <w:rsid w:val="007E1C82"/>
    <w:rsid w:val="007E6655"/>
    <w:rsid w:val="007F1BE1"/>
    <w:rsid w:val="007F3E33"/>
    <w:rsid w:val="007F6D35"/>
    <w:rsid w:val="007F794C"/>
    <w:rsid w:val="007F7A4A"/>
    <w:rsid w:val="00831B61"/>
    <w:rsid w:val="0084337F"/>
    <w:rsid w:val="00844D71"/>
    <w:rsid w:val="00851696"/>
    <w:rsid w:val="00865C01"/>
    <w:rsid w:val="008736FC"/>
    <w:rsid w:val="00873806"/>
    <w:rsid w:val="00892615"/>
    <w:rsid w:val="00893CF9"/>
    <w:rsid w:val="00894B54"/>
    <w:rsid w:val="008972AE"/>
    <w:rsid w:val="008979E2"/>
    <w:rsid w:val="008C276E"/>
    <w:rsid w:val="008D4278"/>
    <w:rsid w:val="008E43D2"/>
    <w:rsid w:val="008F5F38"/>
    <w:rsid w:val="00904C7D"/>
    <w:rsid w:val="00906231"/>
    <w:rsid w:val="00906867"/>
    <w:rsid w:val="00906B4A"/>
    <w:rsid w:val="00911B2D"/>
    <w:rsid w:val="0092017E"/>
    <w:rsid w:val="0092495C"/>
    <w:rsid w:val="00924C34"/>
    <w:rsid w:val="00930F18"/>
    <w:rsid w:val="00933C85"/>
    <w:rsid w:val="00934199"/>
    <w:rsid w:val="00935867"/>
    <w:rsid w:val="00941845"/>
    <w:rsid w:val="00947830"/>
    <w:rsid w:val="00972018"/>
    <w:rsid w:val="009928D4"/>
    <w:rsid w:val="009C0306"/>
    <w:rsid w:val="009D2778"/>
    <w:rsid w:val="009F19B4"/>
    <w:rsid w:val="00A13032"/>
    <w:rsid w:val="00A234C9"/>
    <w:rsid w:val="00A23B93"/>
    <w:rsid w:val="00A32A00"/>
    <w:rsid w:val="00A32FE2"/>
    <w:rsid w:val="00A506F7"/>
    <w:rsid w:val="00A55A25"/>
    <w:rsid w:val="00A73D62"/>
    <w:rsid w:val="00A74EF4"/>
    <w:rsid w:val="00A76E84"/>
    <w:rsid w:val="00A83853"/>
    <w:rsid w:val="00A97736"/>
    <w:rsid w:val="00AA05FF"/>
    <w:rsid w:val="00AC12C9"/>
    <w:rsid w:val="00AC4F0A"/>
    <w:rsid w:val="00AC7B26"/>
    <w:rsid w:val="00AD45E5"/>
    <w:rsid w:val="00AE196B"/>
    <w:rsid w:val="00AE4F35"/>
    <w:rsid w:val="00AF1C9C"/>
    <w:rsid w:val="00AF387F"/>
    <w:rsid w:val="00B000CA"/>
    <w:rsid w:val="00B079B2"/>
    <w:rsid w:val="00B212B4"/>
    <w:rsid w:val="00B33A8F"/>
    <w:rsid w:val="00B36383"/>
    <w:rsid w:val="00B37EEA"/>
    <w:rsid w:val="00B429BA"/>
    <w:rsid w:val="00B4734D"/>
    <w:rsid w:val="00B519F6"/>
    <w:rsid w:val="00B53419"/>
    <w:rsid w:val="00B579CE"/>
    <w:rsid w:val="00B63D5F"/>
    <w:rsid w:val="00B82AFE"/>
    <w:rsid w:val="00BA14C3"/>
    <w:rsid w:val="00BA5321"/>
    <w:rsid w:val="00BB557B"/>
    <w:rsid w:val="00BD2599"/>
    <w:rsid w:val="00BE7BD2"/>
    <w:rsid w:val="00BF7DEC"/>
    <w:rsid w:val="00C0209E"/>
    <w:rsid w:val="00C15463"/>
    <w:rsid w:val="00C217A3"/>
    <w:rsid w:val="00C23A02"/>
    <w:rsid w:val="00C56ABF"/>
    <w:rsid w:val="00C60BC8"/>
    <w:rsid w:val="00C62A87"/>
    <w:rsid w:val="00C62CC4"/>
    <w:rsid w:val="00C657F3"/>
    <w:rsid w:val="00C81721"/>
    <w:rsid w:val="00C84B1D"/>
    <w:rsid w:val="00CA35A3"/>
    <w:rsid w:val="00CB3A89"/>
    <w:rsid w:val="00CD508D"/>
    <w:rsid w:val="00CE0084"/>
    <w:rsid w:val="00CE25F9"/>
    <w:rsid w:val="00CE3C13"/>
    <w:rsid w:val="00D02A2A"/>
    <w:rsid w:val="00D13B03"/>
    <w:rsid w:val="00D13D19"/>
    <w:rsid w:val="00D2421C"/>
    <w:rsid w:val="00D273F5"/>
    <w:rsid w:val="00D31CE9"/>
    <w:rsid w:val="00D323EC"/>
    <w:rsid w:val="00D40CEF"/>
    <w:rsid w:val="00D612FA"/>
    <w:rsid w:val="00D764CB"/>
    <w:rsid w:val="00D7697A"/>
    <w:rsid w:val="00D76F6F"/>
    <w:rsid w:val="00D86210"/>
    <w:rsid w:val="00DA0298"/>
    <w:rsid w:val="00DA3DC4"/>
    <w:rsid w:val="00DB5CC8"/>
    <w:rsid w:val="00DC1BDC"/>
    <w:rsid w:val="00DE407B"/>
    <w:rsid w:val="00E122ED"/>
    <w:rsid w:val="00E26B03"/>
    <w:rsid w:val="00E3652D"/>
    <w:rsid w:val="00E436C2"/>
    <w:rsid w:val="00E549FA"/>
    <w:rsid w:val="00E57323"/>
    <w:rsid w:val="00E63EF8"/>
    <w:rsid w:val="00E823D6"/>
    <w:rsid w:val="00E95389"/>
    <w:rsid w:val="00EA653B"/>
    <w:rsid w:val="00EB1E4C"/>
    <w:rsid w:val="00EB6E4E"/>
    <w:rsid w:val="00EE20EC"/>
    <w:rsid w:val="00F673D7"/>
    <w:rsid w:val="00F82277"/>
    <w:rsid w:val="00F82FEA"/>
    <w:rsid w:val="00F830CC"/>
    <w:rsid w:val="00F9350C"/>
    <w:rsid w:val="00F97ADC"/>
    <w:rsid w:val="00FA09B7"/>
    <w:rsid w:val="00FA0A04"/>
    <w:rsid w:val="00FA57BA"/>
    <w:rsid w:val="00FA5F4F"/>
    <w:rsid w:val="00FD3849"/>
    <w:rsid w:val="00FD5FCA"/>
    <w:rsid w:val="00FE11FB"/>
    <w:rsid w:val="00FE3C5E"/>
    <w:rsid w:val="00FE486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41AF8"/>
  <w15:docId w15:val="{44CB3589-9C0D-4DF5-B21B-FB8095CF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84337F"/>
    <w:pPr>
      <w:spacing w:before="100" w:beforeAutospacing="1" w:after="100" w:afterAutospacing="1"/>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E86"/>
    <w:pPr>
      <w:ind w:left="720"/>
      <w:contextualSpacing/>
    </w:pPr>
  </w:style>
  <w:style w:type="paragraph" w:styleId="a4">
    <w:name w:val="footnote text"/>
    <w:basedOn w:val="a"/>
    <w:link w:val="a5"/>
    <w:uiPriority w:val="99"/>
    <w:unhideWhenUsed/>
    <w:rsid w:val="00430456"/>
    <w:rPr>
      <w:sz w:val="20"/>
      <w:szCs w:val="20"/>
    </w:rPr>
  </w:style>
  <w:style w:type="character" w:customStyle="1" w:styleId="a5">
    <w:name w:val="Текст сноски Знак"/>
    <w:basedOn w:val="a0"/>
    <w:link w:val="a4"/>
    <w:uiPriority w:val="99"/>
    <w:qFormat/>
    <w:rsid w:val="00430456"/>
    <w:rPr>
      <w:sz w:val="20"/>
      <w:szCs w:val="20"/>
    </w:rPr>
  </w:style>
  <w:style w:type="character" w:styleId="a6">
    <w:name w:val="footnote reference"/>
    <w:basedOn w:val="a0"/>
    <w:uiPriority w:val="99"/>
    <w:unhideWhenUsed/>
    <w:rsid w:val="00430456"/>
    <w:rPr>
      <w:vertAlign w:val="superscript"/>
    </w:rPr>
  </w:style>
  <w:style w:type="paragraph" w:styleId="a7">
    <w:name w:val="footer"/>
    <w:basedOn w:val="a"/>
    <w:link w:val="a8"/>
    <w:uiPriority w:val="99"/>
    <w:unhideWhenUsed/>
    <w:rsid w:val="002D122A"/>
    <w:pPr>
      <w:tabs>
        <w:tab w:val="center" w:pos="4677"/>
        <w:tab w:val="right" w:pos="9355"/>
      </w:tabs>
    </w:pPr>
  </w:style>
  <w:style w:type="character" w:customStyle="1" w:styleId="a8">
    <w:name w:val="Нижний колонтитул Знак"/>
    <w:basedOn w:val="a0"/>
    <w:link w:val="a7"/>
    <w:uiPriority w:val="99"/>
    <w:rsid w:val="002D122A"/>
  </w:style>
  <w:style w:type="character" w:styleId="a9">
    <w:name w:val="page number"/>
    <w:basedOn w:val="a0"/>
    <w:uiPriority w:val="99"/>
    <w:semiHidden/>
    <w:unhideWhenUsed/>
    <w:rsid w:val="002D122A"/>
  </w:style>
  <w:style w:type="character" w:customStyle="1" w:styleId="aa">
    <w:name w:val="Нет"/>
    <w:rsid w:val="008D4278"/>
  </w:style>
  <w:style w:type="paragraph" w:styleId="ab">
    <w:name w:val="Balloon Text"/>
    <w:basedOn w:val="a"/>
    <w:link w:val="ac"/>
    <w:uiPriority w:val="99"/>
    <w:semiHidden/>
    <w:unhideWhenUsed/>
    <w:rsid w:val="008D4278"/>
    <w:rPr>
      <w:rFonts w:ascii="Lucida Grande CY" w:hAnsi="Lucida Grande CY"/>
      <w:sz w:val="18"/>
      <w:szCs w:val="18"/>
    </w:rPr>
  </w:style>
  <w:style w:type="character" w:customStyle="1" w:styleId="ac">
    <w:name w:val="Текст выноски Знак"/>
    <w:basedOn w:val="a0"/>
    <w:link w:val="ab"/>
    <w:uiPriority w:val="99"/>
    <w:semiHidden/>
    <w:rsid w:val="008D4278"/>
    <w:rPr>
      <w:rFonts w:ascii="Lucida Grande CY" w:hAnsi="Lucida Grande CY"/>
      <w:sz w:val="18"/>
      <w:szCs w:val="18"/>
    </w:rPr>
  </w:style>
  <w:style w:type="table" w:styleId="ad">
    <w:name w:val="Table Grid"/>
    <w:basedOn w:val="a1"/>
    <w:uiPriority w:val="39"/>
    <w:rsid w:val="008D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8D4278"/>
    <w:pPr>
      <w:spacing w:before="100" w:beforeAutospacing="1" w:after="100" w:afterAutospacing="1"/>
    </w:pPr>
    <w:rPr>
      <w:rFonts w:ascii="Times New Roman" w:hAnsi="Times New Roman" w:cs="Times New Roman"/>
      <w:sz w:val="20"/>
      <w:szCs w:val="20"/>
      <w:lang w:eastAsia="ru-RU"/>
    </w:rPr>
  </w:style>
  <w:style w:type="character" w:styleId="af">
    <w:name w:val="Strong"/>
    <w:basedOn w:val="a0"/>
    <w:uiPriority w:val="22"/>
    <w:qFormat/>
    <w:rsid w:val="008D4278"/>
    <w:rPr>
      <w:b/>
      <w:bCs/>
    </w:rPr>
  </w:style>
  <w:style w:type="character" w:styleId="af0">
    <w:name w:val="Hyperlink"/>
    <w:basedOn w:val="a0"/>
    <w:uiPriority w:val="99"/>
    <w:unhideWhenUsed/>
    <w:rsid w:val="008D4278"/>
    <w:rPr>
      <w:color w:val="0563C1" w:themeColor="hyperlink"/>
      <w:u w:val="single"/>
    </w:rPr>
  </w:style>
  <w:style w:type="character" w:customStyle="1" w:styleId="30">
    <w:name w:val="Заголовок 3 Знак"/>
    <w:basedOn w:val="a0"/>
    <w:link w:val="3"/>
    <w:uiPriority w:val="9"/>
    <w:rsid w:val="0084337F"/>
    <w:rPr>
      <w:rFonts w:ascii="Times New Roman" w:hAnsi="Times New Roman" w:cs="Times New Roman"/>
      <w:b/>
      <w:bCs/>
      <w:sz w:val="27"/>
      <w:szCs w:val="27"/>
      <w:lang w:eastAsia="ru-RU"/>
    </w:rPr>
  </w:style>
  <w:style w:type="paragraph" w:styleId="af1">
    <w:name w:val="header"/>
    <w:basedOn w:val="a"/>
    <w:link w:val="af2"/>
    <w:uiPriority w:val="99"/>
    <w:unhideWhenUsed/>
    <w:rsid w:val="00831B61"/>
    <w:pPr>
      <w:tabs>
        <w:tab w:val="center" w:pos="4677"/>
        <w:tab w:val="right" w:pos="9355"/>
      </w:tabs>
    </w:pPr>
  </w:style>
  <w:style w:type="character" w:customStyle="1" w:styleId="af2">
    <w:name w:val="Верхний колонтитул Знак"/>
    <w:basedOn w:val="a0"/>
    <w:link w:val="af1"/>
    <w:uiPriority w:val="99"/>
    <w:rsid w:val="00831B61"/>
  </w:style>
  <w:style w:type="paragraph" w:styleId="af3">
    <w:name w:val="endnote text"/>
    <w:basedOn w:val="a"/>
    <w:link w:val="af4"/>
    <w:uiPriority w:val="99"/>
    <w:unhideWhenUsed/>
    <w:rsid w:val="00831B61"/>
  </w:style>
  <w:style w:type="character" w:customStyle="1" w:styleId="af4">
    <w:name w:val="Текст концевой сноски Знак"/>
    <w:basedOn w:val="a0"/>
    <w:link w:val="af3"/>
    <w:uiPriority w:val="99"/>
    <w:rsid w:val="00831B61"/>
  </w:style>
  <w:style w:type="character" w:styleId="af5">
    <w:name w:val="endnote reference"/>
    <w:basedOn w:val="a0"/>
    <w:uiPriority w:val="99"/>
    <w:unhideWhenUsed/>
    <w:rsid w:val="00831B61"/>
    <w:rPr>
      <w:vertAlign w:val="superscript"/>
    </w:rPr>
  </w:style>
  <w:style w:type="character" w:styleId="af6">
    <w:name w:val="annotation reference"/>
    <w:basedOn w:val="a0"/>
    <w:uiPriority w:val="99"/>
    <w:semiHidden/>
    <w:unhideWhenUsed/>
    <w:rsid w:val="007F794C"/>
    <w:rPr>
      <w:sz w:val="16"/>
      <w:szCs w:val="16"/>
    </w:rPr>
  </w:style>
  <w:style w:type="paragraph" w:styleId="af7">
    <w:name w:val="annotation text"/>
    <w:basedOn w:val="a"/>
    <w:link w:val="af8"/>
    <w:uiPriority w:val="99"/>
    <w:semiHidden/>
    <w:unhideWhenUsed/>
    <w:rsid w:val="007F794C"/>
    <w:rPr>
      <w:sz w:val="20"/>
      <w:szCs w:val="20"/>
    </w:rPr>
  </w:style>
  <w:style w:type="character" w:customStyle="1" w:styleId="af8">
    <w:name w:val="Текст примечания Знак"/>
    <w:basedOn w:val="a0"/>
    <w:link w:val="af7"/>
    <w:uiPriority w:val="99"/>
    <w:semiHidden/>
    <w:rsid w:val="007F794C"/>
    <w:rPr>
      <w:sz w:val="20"/>
      <w:szCs w:val="20"/>
    </w:rPr>
  </w:style>
  <w:style w:type="paragraph" w:styleId="af9">
    <w:name w:val="annotation subject"/>
    <w:basedOn w:val="af7"/>
    <w:next w:val="af7"/>
    <w:link w:val="afa"/>
    <w:uiPriority w:val="99"/>
    <w:semiHidden/>
    <w:unhideWhenUsed/>
    <w:rsid w:val="007F794C"/>
    <w:rPr>
      <w:b/>
      <w:bCs/>
    </w:rPr>
  </w:style>
  <w:style w:type="character" w:customStyle="1" w:styleId="afa">
    <w:name w:val="Тема примечания Знак"/>
    <w:basedOn w:val="af8"/>
    <w:link w:val="af9"/>
    <w:uiPriority w:val="99"/>
    <w:semiHidden/>
    <w:rsid w:val="007F794C"/>
    <w:rPr>
      <w:b/>
      <w:bCs/>
      <w:sz w:val="20"/>
      <w:szCs w:val="20"/>
    </w:rPr>
  </w:style>
  <w:style w:type="paragraph" w:customStyle="1" w:styleId="western">
    <w:name w:val="western"/>
    <w:basedOn w:val="a"/>
    <w:rsid w:val="00906231"/>
    <w:pPr>
      <w:spacing w:before="100" w:beforeAutospacing="1" w:after="142" w:line="288" w:lineRule="auto"/>
    </w:pPr>
    <w:rPr>
      <w:rFonts w:ascii="Times New Roman" w:eastAsia="Times New Roman" w:hAnsi="Times New Roman" w:cs="Times New Roman"/>
      <w:color w:val="000000"/>
      <w:sz w:val="28"/>
      <w:szCs w:val="28"/>
      <w:lang w:eastAsia="ru-RU"/>
    </w:rPr>
  </w:style>
  <w:style w:type="paragraph" w:customStyle="1" w:styleId="ConsPlusNormal">
    <w:name w:val="ConsPlusNormal"/>
    <w:rsid w:val="00A97736"/>
    <w:pPr>
      <w:autoSpaceDE w:val="0"/>
      <w:autoSpaceDN w:val="0"/>
      <w:adjustRightInd w:val="0"/>
    </w:pPr>
    <w:rPr>
      <w:rFonts w:ascii="Calibri" w:hAnsi="Calibri" w:cs="Calibri"/>
      <w:sz w:val="22"/>
      <w:szCs w:val="22"/>
    </w:rPr>
  </w:style>
  <w:style w:type="paragraph" w:customStyle="1" w:styleId="2">
    <w:name w:val="Основной текст (2)"/>
    <w:rsid w:val="00321BBC"/>
    <w:pPr>
      <w:widowControl w:val="0"/>
      <w:shd w:val="clear" w:color="auto" w:fill="FFFFFF"/>
      <w:spacing w:before="1080" w:after="300" w:line="322" w:lineRule="exact"/>
      <w:jc w:val="center"/>
    </w:pPr>
    <w:rPr>
      <w:rFonts w:ascii="Times New Roman" w:eastAsia="Times New Roman" w:hAnsi="Times New Roman" w:cs="Times New Roman"/>
      <w:color w:val="000000"/>
      <w:sz w:val="26"/>
      <w:szCs w:val="26"/>
      <w:u w:color="000000"/>
      <w:lang w:eastAsia="ru-RU"/>
    </w:rPr>
  </w:style>
  <w:style w:type="character" w:customStyle="1" w:styleId="wmi-callto">
    <w:name w:val="wmi-callto"/>
    <w:basedOn w:val="a0"/>
    <w:rsid w:val="00911B2D"/>
  </w:style>
  <w:style w:type="character" w:styleId="afb">
    <w:name w:val="FollowedHyperlink"/>
    <w:basedOn w:val="a0"/>
    <w:uiPriority w:val="99"/>
    <w:semiHidden/>
    <w:unhideWhenUsed/>
    <w:rsid w:val="00BE7B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3359">
      <w:bodyDiv w:val="1"/>
      <w:marLeft w:val="0"/>
      <w:marRight w:val="0"/>
      <w:marTop w:val="0"/>
      <w:marBottom w:val="0"/>
      <w:divBdr>
        <w:top w:val="none" w:sz="0" w:space="0" w:color="auto"/>
        <w:left w:val="none" w:sz="0" w:space="0" w:color="auto"/>
        <w:bottom w:val="none" w:sz="0" w:space="0" w:color="auto"/>
        <w:right w:val="none" w:sz="0" w:space="0" w:color="auto"/>
      </w:divBdr>
    </w:div>
    <w:div w:id="217591305">
      <w:bodyDiv w:val="1"/>
      <w:marLeft w:val="0"/>
      <w:marRight w:val="0"/>
      <w:marTop w:val="0"/>
      <w:marBottom w:val="0"/>
      <w:divBdr>
        <w:top w:val="none" w:sz="0" w:space="0" w:color="auto"/>
        <w:left w:val="none" w:sz="0" w:space="0" w:color="auto"/>
        <w:bottom w:val="none" w:sz="0" w:space="0" w:color="auto"/>
        <w:right w:val="none" w:sz="0" w:space="0" w:color="auto"/>
      </w:divBdr>
      <w:divsChild>
        <w:div w:id="314913069">
          <w:marLeft w:val="0"/>
          <w:marRight w:val="0"/>
          <w:marTop w:val="0"/>
          <w:marBottom w:val="0"/>
          <w:divBdr>
            <w:top w:val="none" w:sz="0" w:space="0" w:color="auto"/>
            <w:left w:val="none" w:sz="0" w:space="0" w:color="auto"/>
            <w:bottom w:val="none" w:sz="0" w:space="0" w:color="auto"/>
            <w:right w:val="none" w:sz="0" w:space="0" w:color="auto"/>
          </w:divBdr>
        </w:div>
        <w:div w:id="314648137">
          <w:marLeft w:val="0"/>
          <w:marRight w:val="0"/>
          <w:marTop w:val="0"/>
          <w:marBottom w:val="0"/>
          <w:divBdr>
            <w:top w:val="none" w:sz="0" w:space="0" w:color="auto"/>
            <w:left w:val="none" w:sz="0" w:space="0" w:color="auto"/>
            <w:bottom w:val="none" w:sz="0" w:space="0" w:color="auto"/>
            <w:right w:val="none" w:sz="0" w:space="0" w:color="auto"/>
          </w:divBdr>
        </w:div>
        <w:div w:id="1063871422">
          <w:marLeft w:val="0"/>
          <w:marRight w:val="0"/>
          <w:marTop w:val="0"/>
          <w:marBottom w:val="0"/>
          <w:divBdr>
            <w:top w:val="none" w:sz="0" w:space="0" w:color="auto"/>
            <w:left w:val="none" w:sz="0" w:space="0" w:color="auto"/>
            <w:bottom w:val="none" w:sz="0" w:space="0" w:color="auto"/>
            <w:right w:val="none" w:sz="0" w:space="0" w:color="auto"/>
          </w:divBdr>
        </w:div>
        <w:div w:id="256133091">
          <w:marLeft w:val="0"/>
          <w:marRight w:val="0"/>
          <w:marTop w:val="0"/>
          <w:marBottom w:val="0"/>
          <w:divBdr>
            <w:top w:val="none" w:sz="0" w:space="0" w:color="auto"/>
            <w:left w:val="none" w:sz="0" w:space="0" w:color="auto"/>
            <w:bottom w:val="none" w:sz="0" w:space="0" w:color="auto"/>
            <w:right w:val="none" w:sz="0" w:space="0" w:color="auto"/>
          </w:divBdr>
        </w:div>
        <w:div w:id="2001889559">
          <w:marLeft w:val="0"/>
          <w:marRight w:val="0"/>
          <w:marTop w:val="0"/>
          <w:marBottom w:val="0"/>
          <w:divBdr>
            <w:top w:val="none" w:sz="0" w:space="0" w:color="auto"/>
            <w:left w:val="none" w:sz="0" w:space="0" w:color="auto"/>
            <w:bottom w:val="none" w:sz="0" w:space="0" w:color="auto"/>
            <w:right w:val="none" w:sz="0" w:space="0" w:color="auto"/>
          </w:divBdr>
        </w:div>
        <w:div w:id="1089931455">
          <w:marLeft w:val="0"/>
          <w:marRight w:val="0"/>
          <w:marTop w:val="0"/>
          <w:marBottom w:val="0"/>
          <w:divBdr>
            <w:top w:val="none" w:sz="0" w:space="0" w:color="auto"/>
            <w:left w:val="none" w:sz="0" w:space="0" w:color="auto"/>
            <w:bottom w:val="none" w:sz="0" w:space="0" w:color="auto"/>
            <w:right w:val="none" w:sz="0" w:space="0" w:color="auto"/>
          </w:divBdr>
        </w:div>
      </w:divsChild>
    </w:div>
    <w:div w:id="271666421">
      <w:bodyDiv w:val="1"/>
      <w:marLeft w:val="0"/>
      <w:marRight w:val="0"/>
      <w:marTop w:val="0"/>
      <w:marBottom w:val="0"/>
      <w:divBdr>
        <w:top w:val="none" w:sz="0" w:space="0" w:color="auto"/>
        <w:left w:val="none" w:sz="0" w:space="0" w:color="auto"/>
        <w:bottom w:val="none" w:sz="0" w:space="0" w:color="auto"/>
        <w:right w:val="none" w:sz="0" w:space="0" w:color="auto"/>
      </w:divBdr>
    </w:div>
    <w:div w:id="295184793">
      <w:bodyDiv w:val="1"/>
      <w:marLeft w:val="0"/>
      <w:marRight w:val="0"/>
      <w:marTop w:val="0"/>
      <w:marBottom w:val="0"/>
      <w:divBdr>
        <w:top w:val="none" w:sz="0" w:space="0" w:color="auto"/>
        <w:left w:val="none" w:sz="0" w:space="0" w:color="auto"/>
        <w:bottom w:val="none" w:sz="0" w:space="0" w:color="auto"/>
        <w:right w:val="none" w:sz="0" w:space="0" w:color="auto"/>
      </w:divBdr>
    </w:div>
    <w:div w:id="322242175">
      <w:bodyDiv w:val="1"/>
      <w:marLeft w:val="0"/>
      <w:marRight w:val="0"/>
      <w:marTop w:val="0"/>
      <w:marBottom w:val="0"/>
      <w:divBdr>
        <w:top w:val="none" w:sz="0" w:space="0" w:color="auto"/>
        <w:left w:val="none" w:sz="0" w:space="0" w:color="auto"/>
        <w:bottom w:val="none" w:sz="0" w:space="0" w:color="auto"/>
        <w:right w:val="none" w:sz="0" w:space="0" w:color="auto"/>
      </w:divBdr>
    </w:div>
    <w:div w:id="497308666">
      <w:bodyDiv w:val="1"/>
      <w:marLeft w:val="0"/>
      <w:marRight w:val="0"/>
      <w:marTop w:val="0"/>
      <w:marBottom w:val="0"/>
      <w:divBdr>
        <w:top w:val="none" w:sz="0" w:space="0" w:color="auto"/>
        <w:left w:val="none" w:sz="0" w:space="0" w:color="auto"/>
        <w:bottom w:val="none" w:sz="0" w:space="0" w:color="auto"/>
        <w:right w:val="none" w:sz="0" w:space="0" w:color="auto"/>
      </w:divBdr>
    </w:div>
    <w:div w:id="600836825">
      <w:bodyDiv w:val="1"/>
      <w:marLeft w:val="0"/>
      <w:marRight w:val="0"/>
      <w:marTop w:val="0"/>
      <w:marBottom w:val="0"/>
      <w:divBdr>
        <w:top w:val="none" w:sz="0" w:space="0" w:color="auto"/>
        <w:left w:val="none" w:sz="0" w:space="0" w:color="auto"/>
        <w:bottom w:val="none" w:sz="0" w:space="0" w:color="auto"/>
        <w:right w:val="none" w:sz="0" w:space="0" w:color="auto"/>
      </w:divBdr>
    </w:div>
    <w:div w:id="702169600">
      <w:bodyDiv w:val="1"/>
      <w:marLeft w:val="0"/>
      <w:marRight w:val="0"/>
      <w:marTop w:val="0"/>
      <w:marBottom w:val="0"/>
      <w:divBdr>
        <w:top w:val="none" w:sz="0" w:space="0" w:color="auto"/>
        <w:left w:val="none" w:sz="0" w:space="0" w:color="auto"/>
        <w:bottom w:val="none" w:sz="0" w:space="0" w:color="auto"/>
        <w:right w:val="none" w:sz="0" w:space="0" w:color="auto"/>
      </w:divBdr>
    </w:div>
    <w:div w:id="716396602">
      <w:bodyDiv w:val="1"/>
      <w:marLeft w:val="0"/>
      <w:marRight w:val="0"/>
      <w:marTop w:val="0"/>
      <w:marBottom w:val="0"/>
      <w:divBdr>
        <w:top w:val="none" w:sz="0" w:space="0" w:color="auto"/>
        <w:left w:val="none" w:sz="0" w:space="0" w:color="auto"/>
        <w:bottom w:val="none" w:sz="0" w:space="0" w:color="auto"/>
        <w:right w:val="none" w:sz="0" w:space="0" w:color="auto"/>
      </w:divBdr>
    </w:div>
    <w:div w:id="774179785">
      <w:bodyDiv w:val="1"/>
      <w:marLeft w:val="0"/>
      <w:marRight w:val="0"/>
      <w:marTop w:val="0"/>
      <w:marBottom w:val="0"/>
      <w:divBdr>
        <w:top w:val="none" w:sz="0" w:space="0" w:color="auto"/>
        <w:left w:val="none" w:sz="0" w:space="0" w:color="auto"/>
        <w:bottom w:val="none" w:sz="0" w:space="0" w:color="auto"/>
        <w:right w:val="none" w:sz="0" w:space="0" w:color="auto"/>
      </w:divBdr>
      <w:divsChild>
        <w:div w:id="134758963">
          <w:blockQuote w:val="1"/>
          <w:marLeft w:val="0"/>
          <w:marRight w:val="-150"/>
          <w:marTop w:val="312"/>
          <w:marBottom w:val="0"/>
          <w:divBdr>
            <w:top w:val="none" w:sz="0" w:space="0" w:color="auto"/>
            <w:left w:val="none" w:sz="0" w:space="0" w:color="auto"/>
            <w:bottom w:val="none" w:sz="0" w:space="0" w:color="auto"/>
            <w:right w:val="none" w:sz="0" w:space="0" w:color="auto"/>
          </w:divBdr>
          <w:divsChild>
            <w:div w:id="1620332556">
              <w:marLeft w:val="0"/>
              <w:marRight w:val="0"/>
              <w:marTop w:val="0"/>
              <w:marBottom w:val="0"/>
              <w:divBdr>
                <w:top w:val="none" w:sz="0" w:space="0" w:color="auto"/>
                <w:left w:val="single" w:sz="6" w:space="8" w:color="auto"/>
                <w:bottom w:val="none" w:sz="0" w:space="0" w:color="auto"/>
                <w:right w:val="single" w:sz="6" w:space="8" w:color="auto"/>
              </w:divBdr>
              <w:divsChild>
                <w:div w:id="18271605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87508583">
      <w:bodyDiv w:val="1"/>
      <w:marLeft w:val="0"/>
      <w:marRight w:val="0"/>
      <w:marTop w:val="0"/>
      <w:marBottom w:val="0"/>
      <w:divBdr>
        <w:top w:val="none" w:sz="0" w:space="0" w:color="auto"/>
        <w:left w:val="none" w:sz="0" w:space="0" w:color="auto"/>
        <w:bottom w:val="none" w:sz="0" w:space="0" w:color="auto"/>
        <w:right w:val="none" w:sz="0" w:space="0" w:color="auto"/>
      </w:divBdr>
    </w:div>
    <w:div w:id="928662039">
      <w:bodyDiv w:val="1"/>
      <w:marLeft w:val="0"/>
      <w:marRight w:val="0"/>
      <w:marTop w:val="0"/>
      <w:marBottom w:val="0"/>
      <w:divBdr>
        <w:top w:val="none" w:sz="0" w:space="0" w:color="auto"/>
        <w:left w:val="none" w:sz="0" w:space="0" w:color="auto"/>
        <w:bottom w:val="none" w:sz="0" w:space="0" w:color="auto"/>
        <w:right w:val="none" w:sz="0" w:space="0" w:color="auto"/>
      </w:divBdr>
    </w:div>
    <w:div w:id="953828606">
      <w:bodyDiv w:val="1"/>
      <w:marLeft w:val="0"/>
      <w:marRight w:val="0"/>
      <w:marTop w:val="0"/>
      <w:marBottom w:val="0"/>
      <w:divBdr>
        <w:top w:val="none" w:sz="0" w:space="0" w:color="auto"/>
        <w:left w:val="none" w:sz="0" w:space="0" w:color="auto"/>
        <w:bottom w:val="none" w:sz="0" w:space="0" w:color="auto"/>
        <w:right w:val="none" w:sz="0" w:space="0" w:color="auto"/>
      </w:divBdr>
    </w:div>
    <w:div w:id="965115076">
      <w:bodyDiv w:val="1"/>
      <w:marLeft w:val="0"/>
      <w:marRight w:val="0"/>
      <w:marTop w:val="0"/>
      <w:marBottom w:val="0"/>
      <w:divBdr>
        <w:top w:val="none" w:sz="0" w:space="0" w:color="auto"/>
        <w:left w:val="none" w:sz="0" w:space="0" w:color="auto"/>
        <w:bottom w:val="none" w:sz="0" w:space="0" w:color="auto"/>
        <w:right w:val="none" w:sz="0" w:space="0" w:color="auto"/>
      </w:divBdr>
    </w:div>
    <w:div w:id="1031882335">
      <w:bodyDiv w:val="1"/>
      <w:marLeft w:val="0"/>
      <w:marRight w:val="0"/>
      <w:marTop w:val="0"/>
      <w:marBottom w:val="0"/>
      <w:divBdr>
        <w:top w:val="none" w:sz="0" w:space="0" w:color="auto"/>
        <w:left w:val="none" w:sz="0" w:space="0" w:color="auto"/>
        <w:bottom w:val="none" w:sz="0" w:space="0" w:color="auto"/>
        <w:right w:val="none" w:sz="0" w:space="0" w:color="auto"/>
      </w:divBdr>
    </w:div>
    <w:div w:id="1130051140">
      <w:bodyDiv w:val="1"/>
      <w:marLeft w:val="0"/>
      <w:marRight w:val="0"/>
      <w:marTop w:val="0"/>
      <w:marBottom w:val="0"/>
      <w:divBdr>
        <w:top w:val="none" w:sz="0" w:space="0" w:color="auto"/>
        <w:left w:val="none" w:sz="0" w:space="0" w:color="auto"/>
        <w:bottom w:val="none" w:sz="0" w:space="0" w:color="auto"/>
        <w:right w:val="none" w:sz="0" w:space="0" w:color="auto"/>
      </w:divBdr>
    </w:div>
    <w:div w:id="1215433917">
      <w:bodyDiv w:val="1"/>
      <w:marLeft w:val="0"/>
      <w:marRight w:val="0"/>
      <w:marTop w:val="0"/>
      <w:marBottom w:val="0"/>
      <w:divBdr>
        <w:top w:val="none" w:sz="0" w:space="0" w:color="auto"/>
        <w:left w:val="none" w:sz="0" w:space="0" w:color="auto"/>
        <w:bottom w:val="none" w:sz="0" w:space="0" w:color="auto"/>
        <w:right w:val="none" w:sz="0" w:space="0" w:color="auto"/>
      </w:divBdr>
    </w:div>
    <w:div w:id="1240406623">
      <w:bodyDiv w:val="1"/>
      <w:marLeft w:val="0"/>
      <w:marRight w:val="0"/>
      <w:marTop w:val="0"/>
      <w:marBottom w:val="0"/>
      <w:divBdr>
        <w:top w:val="none" w:sz="0" w:space="0" w:color="auto"/>
        <w:left w:val="none" w:sz="0" w:space="0" w:color="auto"/>
        <w:bottom w:val="none" w:sz="0" w:space="0" w:color="auto"/>
        <w:right w:val="none" w:sz="0" w:space="0" w:color="auto"/>
      </w:divBdr>
    </w:div>
    <w:div w:id="1254823023">
      <w:bodyDiv w:val="1"/>
      <w:marLeft w:val="0"/>
      <w:marRight w:val="0"/>
      <w:marTop w:val="0"/>
      <w:marBottom w:val="0"/>
      <w:divBdr>
        <w:top w:val="none" w:sz="0" w:space="0" w:color="auto"/>
        <w:left w:val="none" w:sz="0" w:space="0" w:color="auto"/>
        <w:bottom w:val="none" w:sz="0" w:space="0" w:color="auto"/>
        <w:right w:val="none" w:sz="0" w:space="0" w:color="auto"/>
      </w:divBdr>
    </w:div>
    <w:div w:id="1290433671">
      <w:bodyDiv w:val="1"/>
      <w:marLeft w:val="0"/>
      <w:marRight w:val="0"/>
      <w:marTop w:val="0"/>
      <w:marBottom w:val="0"/>
      <w:divBdr>
        <w:top w:val="none" w:sz="0" w:space="0" w:color="auto"/>
        <w:left w:val="none" w:sz="0" w:space="0" w:color="auto"/>
        <w:bottom w:val="none" w:sz="0" w:space="0" w:color="auto"/>
        <w:right w:val="none" w:sz="0" w:space="0" w:color="auto"/>
      </w:divBdr>
    </w:div>
    <w:div w:id="1327005447">
      <w:bodyDiv w:val="1"/>
      <w:marLeft w:val="0"/>
      <w:marRight w:val="0"/>
      <w:marTop w:val="0"/>
      <w:marBottom w:val="0"/>
      <w:divBdr>
        <w:top w:val="none" w:sz="0" w:space="0" w:color="auto"/>
        <w:left w:val="none" w:sz="0" w:space="0" w:color="auto"/>
        <w:bottom w:val="none" w:sz="0" w:space="0" w:color="auto"/>
        <w:right w:val="none" w:sz="0" w:space="0" w:color="auto"/>
      </w:divBdr>
    </w:div>
    <w:div w:id="1372879444">
      <w:bodyDiv w:val="1"/>
      <w:marLeft w:val="0"/>
      <w:marRight w:val="0"/>
      <w:marTop w:val="0"/>
      <w:marBottom w:val="0"/>
      <w:divBdr>
        <w:top w:val="none" w:sz="0" w:space="0" w:color="auto"/>
        <w:left w:val="none" w:sz="0" w:space="0" w:color="auto"/>
        <w:bottom w:val="none" w:sz="0" w:space="0" w:color="auto"/>
        <w:right w:val="none" w:sz="0" w:space="0" w:color="auto"/>
      </w:divBdr>
    </w:div>
    <w:div w:id="1392848597">
      <w:bodyDiv w:val="1"/>
      <w:marLeft w:val="0"/>
      <w:marRight w:val="0"/>
      <w:marTop w:val="0"/>
      <w:marBottom w:val="0"/>
      <w:divBdr>
        <w:top w:val="none" w:sz="0" w:space="0" w:color="auto"/>
        <w:left w:val="none" w:sz="0" w:space="0" w:color="auto"/>
        <w:bottom w:val="none" w:sz="0" w:space="0" w:color="auto"/>
        <w:right w:val="none" w:sz="0" w:space="0" w:color="auto"/>
      </w:divBdr>
    </w:div>
    <w:div w:id="1404334888">
      <w:bodyDiv w:val="1"/>
      <w:marLeft w:val="0"/>
      <w:marRight w:val="0"/>
      <w:marTop w:val="0"/>
      <w:marBottom w:val="0"/>
      <w:divBdr>
        <w:top w:val="none" w:sz="0" w:space="0" w:color="auto"/>
        <w:left w:val="none" w:sz="0" w:space="0" w:color="auto"/>
        <w:bottom w:val="none" w:sz="0" w:space="0" w:color="auto"/>
        <w:right w:val="none" w:sz="0" w:space="0" w:color="auto"/>
      </w:divBdr>
    </w:div>
    <w:div w:id="1444765048">
      <w:bodyDiv w:val="1"/>
      <w:marLeft w:val="0"/>
      <w:marRight w:val="0"/>
      <w:marTop w:val="0"/>
      <w:marBottom w:val="0"/>
      <w:divBdr>
        <w:top w:val="none" w:sz="0" w:space="0" w:color="auto"/>
        <w:left w:val="none" w:sz="0" w:space="0" w:color="auto"/>
        <w:bottom w:val="none" w:sz="0" w:space="0" w:color="auto"/>
        <w:right w:val="none" w:sz="0" w:space="0" w:color="auto"/>
      </w:divBdr>
    </w:div>
    <w:div w:id="1495798761">
      <w:bodyDiv w:val="1"/>
      <w:marLeft w:val="0"/>
      <w:marRight w:val="0"/>
      <w:marTop w:val="0"/>
      <w:marBottom w:val="0"/>
      <w:divBdr>
        <w:top w:val="none" w:sz="0" w:space="0" w:color="auto"/>
        <w:left w:val="none" w:sz="0" w:space="0" w:color="auto"/>
        <w:bottom w:val="none" w:sz="0" w:space="0" w:color="auto"/>
        <w:right w:val="none" w:sz="0" w:space="0" w:color="auto"/>
      </w:divBdr>
    </w:div>
    <w:div w:id="1580363144">
      <w:bodyDiv w:val="1"/>
      <w:marLeft w:val="0"/>
      <w:marRight w:val="0"/>
      <w:marTop w:val="0"/>
      <w:marBottom w:val="0"/>
      <w:divBdr>
        <w:top w:val="none" w:sz="0" w:space="0" w:color="auto"/>
        <w:left w:val="none" w:sz="0" w:space="0" w:color="auto"/>
        <w:bottom w:val="none" w:sz="0" w:space="0" w:color="auto"/>
        <w:right w:val="none" w:sz="0" w:space="0" w:color="auto"/>
      </w:divBdr>
    </w:div>
    <w:div w:id="1615795087">
      <w:bodyDiv w:val="1"/>
      <w:marLeft w:val="0"/>
      <w:marRight w:val="0"/>
      <w:marTop w:val="0"/>
      <w:marBottom w:val="0"/>
      <w:divBdr>
        <w:top w:val="none" w:sz="0" w:space="0" w:color="auto"/>
        <w:left w:val="none" w:sz="0" w:space="0" w:color="auto"/>
        <w:bottom w:val="none" w:sz="0" w:space="0" w:color="auto"/>
        <w:right w:val="none" w:sz="0" w:space="0" w:color="auto"/>
      </w:divBdr>
    </w:div>
    <w:div w:id="1636182444">
      <w:bodyDiv w:val="1"/>
      <w:marLeft w:val="0"/>
      <w:marRight w:val="0"/>
      <w:marTop w:val="0"/>
      <w:marBottom w:val="0"/>
      <w:divBdr>
        <w:top w:val="none" w:sz="0" w:space="0" w:color="auto"/>
        <w:left w:val="none" w:sz="0" w:space="0" w:color="auto"/>
        <w:bottom w:val="none" w:sz="0" w:space="0" w:color="auto"/>
        <w:right w:val="none" w:sz="0" w:space="0" w:color="auto"/>
      </w:divBdr>
    </w:div>
    <w:div w:id="1652519519">
      <w:bodyDiv w:val="1"/>
      <w:marLeft w:val="0"/>
      <w:marRight w:val="0"/>
      <w:marTop w:val="0"/>
      <w:marBottom w:val="0"/>
      <w:divBdr>
        <w:top w:val="none" w:sz="0" w:space="0" w:color="auto"/>
        <w:left w:val="none" w:sz="0" w:space="0" w:color="auto"/>
        <w:bottom w:val="none" w:sz="0" w:space="0" w:color="auto"/>
        <w:right w:val="none" w:sz="0" w:space="0" w:color="auto"/>
      </w:divBdr>
    </w:div>
    <w:div w:id="1692992626">
      <w:bodyDiv w:val="1"/>
      <w:marLeft w:val="0"/>
      <w:marRight w:val="0"/>
      <w:marTop w:val="0"/>
      <w:marBottom w:val="0"/>
      <w:divBdr>
        <w:top w:val="none" w:sz="0" w:space="0" w:color="auto"/>
        <w:left w:val="none" w:sz="0" w:space="0" w:color="auto"/>
        <w:bottom w:val="none" w:sz="0" w:space="0" w:color="auto"/>
        <w:right w:val="none" w:sz="0" w:space="0" w:color="auto"/>
      </w:divBdr>
    </w:div>
    <w:div w:id="1693998442">
      <w:bodyDiv w:val="1"/>
      <w:marLeft w:val="0"/>
      <w:marRight w:val="0"/>
      <w:marTop w:val="0"/>
      <w:marBottom w:val="0"/>
      <w:divBdr>
        <w:top w:val="none" w:sz="0" w:space="0" w:color="auto"/>
        <w:left w:val="none" w:sz="0" w:space="0" w:color="auto"/>
        <w:bottom w:val="none" w:sz="0" w:space="0" w:color="auto"/>
        <w:right w:val="none" w:sz="0" w:space="0" w:color="auto"/>
      </w:divBdr>
    </w:div>
    <w:div w:id="1729109710">
      <w:bodyDiv w:val="1"/>
      <w:marLeft w:val="0"/>
      <w:marRight w:val="0"/>
      <w:marTop w:val="0"/>
      <w:marBottom w:val="0"/>
      <w:divBdr>
        <w:top w:val="none" w:sz="0" w:space="0" w:color="auto"/>
        <w:left w:val="none" w:sz="0" w:space="0" w:color="auto"/>
        <w:bottom w:val="none" w:sz="0" w:space="0" w:color="auto"/>
        <w:right w:val="none" w:sz="0" w:space="0" w:color="auto"/>
      </w:divBdr>
    </w:div>
    <w:div w:id="1743674757">
      <w:bodyDiv w:val="1"/>
      <w:marLeft w:val="0"/>
      <w:marRight w:val="0"/>
      <w:marTop w:val="0"/>
      <w:marBottom w:val="0"/>
      <w:divBdr>
        <w:top w:val="none" w:sz="0" w:space="0" w:color="auto"/>
        <w:left w:val="none" w:sz="0" w:space="0" w:color="auto"/>
        <w:bottom w:val="none" w:sz="0" w:space="0" w:color="auto"/>
        <w:right w:val="none" w:sz="0" w:space="0" w:color="auto"/>
      </w:divBdr>
    </w:div>
    <w:div w:id="1793402118">
      <w:bodyDiv w:val="1"/>
      <w:marLeft w:val="0"/>
      <w:marRight w:val="0"/>
      <w:marTop w:val="0"/>
      <w:marBottom w:val="0"/>
      <w:divBdr>
        <w:top w:val="none" w:sz="0" w:space="0" w:color="auto"/>
        <w:left w:val="none" w:sz="0" w:space="0" w:color="auto"/>
        <w:bottom w:val="none" w:sz="0" w:space="0" w:color="auto"/>
        <w:right w:val="none" w:sz="0" w:space="0" w:color="auto"/>
      </w:divBdr>
    </w:div>
    <w:div w:id="1799911745">
      <w:bodyDiv w:val="1"/>
      <w:marLeft w:val="0"/>
      <w:marRight w:val="0"/>
      <w:marTop w:val="0"/>
      <w:marBottom w:val="0"/>
      <w:divBdr>
        <w:top w:val="none" w:sz="0" w:space="0" w:color="auto"/>
        <w:left w:val="none" w:sz="0" w:space="0" w:color="auto"/>
        <w:bottom w:val="none" w:sz="0" w:space="0" w:color="auto"/>
        <w:right w:val="none" w:sz="0" w:space="0" w:color="auto"/>
      </w:divBdr>
    </w:div>
    <w:div w:id="1825511161">
      <w:bodyDiv w:val="1"/>
      <w:marLeft w:val="0"/>
      <w:marRight w:val="0"/>
      <w:marTop w:val="0"/>
      <w:marBottom w:val="0"/>
      <w:divBdr>
        <w:top w:val="none" w:sz="0" w:space="0" w:color="auto"/>
        <w:left w:val="none" w:sz="0" w:space="0" w:color="auto"/>
        <w:bottom w:val="none" w:sz="0" w:space="0" w:color="auto"/>
        <w:right w:val="none" w:sz="0" w:space="0" w:color="auto"/>
      </w:divBdr>
    </w:div>
    <w:div w:id="1906990542">
      <w:bodyDiv w:val="1"/>
      <w:marLeft w:val="0"/>
      <w:marRight w:val="0"/>
      <w:marTop w:val="0"/>
      <w:marBottom w:val="0"/>
      <w:divBdr>
        <w:top w:val="none" w:sz="0" w:space="0" w:color="auto"/>
        <w:left w:val="none" w:sz="0" w:space="0" w:color="auto"/>
        <w:bottom w:val="none" w:sz="0" w:space="0" w:color="auto"/>
        <w:right w:val="none" w:sz="0" w:space="0" w:color="auto"/>
      </w:divBdr>
    </w:div>
    <w:div w:id="19522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www.alrf.msk.ru" TargetMode="Externa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mailto:digitallaw@alrf.msk.ru" TargetMode="Externa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jpeg" /><Relationship Id="rId5" Type="http://schemas.openxmlformats.org/officeDocument/2006/relationships/numbering" Target="numbering.xml" /><Relationship Id="rId15" Type="http://schemas.openxmlformats.org/officeDocument/2006/relationships/footer" Target="footer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static.consultant.ru/obj/file/doc/fz_140119.rtf" TargetMode="External" /></Relationships>
</file>

<file path=word/_rels/footnotes.xml.rels><?xml version="1.0" encoding="UTF-8" standalone="yes"?>
<Relationships xmlns="http://schemas.openxmlformats.org/package/2006/relationships"><Relationship Id="rId8" Type="http://schemas.openxmlformats.org/officeDocument/2006/relationships/hyperlink" Target="https://cryptovod.ru/lloyd-s-of-london-nachal-strahovat-kriptoaktivyi-polzovateley-birzhi-independent-reserve/" TargetMode="External" /><Relationship Id="rId3" Type="http://schemas.openxmlformats.org/officeDocument/2006/relationships/hyperlink" Target="https://www.americanbar.org/content/dam/aba/administrative/business_law/buslaw/committees/CL620000pub/digital_assets.pdf" TargetMode="External" /><Relationship Id="rId7" Type="http://schemas.openxmlformats.org/officeDocument/2006/relationships/hyperlink" Target="https://www.businesswire.com/news/home/20181003005283/en/" TargetMode="External" /><Relationship Id="rId2" Type="http://schemas.openxmlformats.org/officeDocument/2006/relationships/hyperlink" Target="https://pravo.ru/story/200326/" TargetMode="External" /><Relationship Id="rId1" Type="http://schemas.openxmlformats.org/officeDocument/2006/relationships/hyperlink" Target="http://publication.pravo.gov.ru/Document/View/0001201903180027?index=2&amp;rangeSize=1" TargetMode="External" /><Relationship Id="rId6" Type="http://schemas.openxmlformats.org/officeDocument/2006/relationships/hyperlink" Target="https://blog.coinbase.com/on-insurance-and-cryptocurrency-d6db86ba40bd" TargetMode="External" /><Relationship Id="rId5" Type="http://schemas.openxmlformats.org/officeDocument/2006/relationships/hyperlink" Target="https://www.coindesk.com/2018-a-record-breaking-year-for-crypto-exchange-hacks" TargetMode="External" /><Relationship Id="rId4" Type="http://schemas.openxmlformats.org/officeDocument/2006/relationships/hyperlink" Target="https://medium.com/blockdata/not-just-silk-road-major-retail-and-service-providers-that-accept-crypto-eba60aff7f2b"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02D0E64732A3A479BC247F8AF5B5D56" ma:contentTypeVersion="10" ma:contentTypeDescription="Создание документа." ma:contentTypeScope="" ma:versionID="b305868ab47b3ac5d7d8ac18bca12e19">
  <xsd:schema xmlns:xsd="http://www.w3.org/2001/XMLSchema" xmlns:xs="http://www.w3.org/2001/XMLSchema" xmlns:p="http://schemas.microsoft.com/office/2006/metadata/properties" xmlns:ns2="3dec5f62-1d39-4bfc-8014-e149d0192626" xmlns:ns3="6f1f6ec5-a51f-4dad-b31d-9a2768009166" targetNamespace="http://schemas.microsoft.com/office/2006/metadata/properties" ma:root="true" ma:fieldsID="84c49004f1bd4f237ad46928a4759759" ns2:_="" ns3:_="">
    <xsd:import namespace="3dec5f62-1d39-4bfc-8014-e149d0192626"/>
    <xsd:import namespace="6f1f6ec5-a51f-4dad-b31d-9a2768009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c5f62-1d39-4bfc-8014-e149d0192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f6ec5-a51f-4dad-b31d-9a2768009166"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4FE0-B633-4D0D-BA22-800332CD2482}">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C28FB770-A2BF-4D7B-9B5E-B751E5FBA577}">
  <ds:schemaRefs>
    <ds:schemaRef ds:uri="http://schemas.microsoft.com/sharepoint/v3/contenttype/forms"/>
  </ds:schemaRefs>
</ds:datastoreItem>
</file>

<file path=customXml/itemProps3.xml><?xml version="1.0" encoding="utf-8"?>
<ds:datastoreItem xmlns:ds="http://schemas.openxmlformats.org/officeDocument/2006/customXml" ds:itemID="{C4AC9A06-5EE4-4A38-9566-9C9327A967BE}">
  <ds:schemaRefs>
    <ds:schemaRef ds:uri="http://schemas.microsoft.com/office/2006/metadata/contentType"/>
    <ds:schemaRef ds:uri="http://schemas.microsoft.com/office/2006/metadata/properties/metaAttributes"/>
    <ds:schemaRef ds:uri="http://www.w3.org/2000/xmlns/"/>
    <ds:schemaRef ds:uri="http://www.w3.org/2001/XMLSchema"/>
    <ds:schemaRef ds:uri="3dec5f62-1d39-4bfc-8014-e149d0192626"/>
    <ds:schemaRef ds:uri="6f1f6ec5-a51f-4dad-b31d-9a2768009166"/>
  </ds:schemaRefs>
</ds:datastoreItem>
</file>

<file path=customXml/itemProps4.xml><?xml version="1.0" encoding="utf-8"?>
<ds:datastoreItem xmlns:ds="http://schemas.openxmlformats.org/officeDocument/2006/customXml" ds:itemID="{9EEFBCB5-5B68-414D-AE9C-BAE14FBE04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4593</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SAVELIEV</dc:creator>
  <cp:keywords/>
  <dc:description/>
  <cp:lastModifiedBy>Гость</cp:lastModifiedBy>
  <cp:revision>2</cp:revision>
  <cp:lastPrinted>2019-05-27T05:59:00Z</cp:lastPrinted>
  <dcterms:created xsi:type="dcterms:W3CDTF">2019-05-27T09:26:00Z</dcterms:created>
  <dcterms:modified xsi:type="dcterms:W3CDTF">2019-05-27T09:26:00Z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0x010100A02D0E64732A3A479BC247F8AF5B5D56</vt:lpwstr>
  </property>
</Properties>
</file>