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0D" w:rsidRDefault="0073233D" w:rsidP="007E400D">
      <w:pPr>
        <w:spacing w:after="0" w:line="240" w:lineRule="auto"/>
        <w:jc w:val="center"/>
        <w:rPr>
          <w:rStyle w:val="af4"/>
          <w:rFonts w:ascii="Times New Roman" w:eastAsia="Times New Roman" w:hAnsi="Times New Roman"/>
          <w:sz w:val="24"/>
          <w:szCs w:val="24"/>
        </w:rPr>
      </w:pPr>
      <w:bookmarkStart w:id="0" w:name="_GoBack"/>
      <w:bookmarkEnd w:id="0"/>
      <w:r w:rsidRPr="007F7AC7">
        <w:rPr>
          <w:noProof/>
          <w:lang w:eastAsia="ru-RU"/>
        </w:rPr>
        <w:drawing>
          <wp:inline distT="0" distB="0" distL="0" distR="0">
            <wp:extent cx="1193800" cy="1054100"/>
            <wp:effectExtent l="0" t="0" r="0" b="0"/>
            <wp:docPr id="1" name="Рисунок 2" descr="AUR_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AUR_small.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1054100"/>
                    </a:xfrm>
                    <a:prstGeom prst="rect">
                      <a:avLst/>
                    </a:prstGeom>
                    <a:noFill/>
                    <a:ln>
                      <a:noFill/>
                    </a:ln>
                  </pic:spPr>
                </pic:pic>
              </a:graphicData>
            </a:graphic>
          </wp:inline>
        </w:drawing>
      </w:r>
    </w:p>
    <w:tbl>
      <w:tblPr>
        <w:tblpPr w:leftFromText="180" w:rightFromText="180" w:vertAnchor="text" w:horzAnchor="margin" w:tblpXSpec="center" w:tblpY="182"/>
        <w:tblW w:w="9828" w:type="dxa"/>
        <w:shd w:val="clear" w:color="auto" w:fill="FFFFFF"/>
        <w:tblLayout w:type="fixed"/>
        <w:tblLook w:val="0000" w:firstRow="0" w:lastRow="0" w:firstColumn="0" w:lastColumn="0" w:noHBand="0" w:noVBand="0"/>
      </w:tblPr>
      <w:tblGrid>
        <w:gridCol w:w="9828"/>
      </w:tblGrid>
      <w:tr w:rsidR="007E400D" w:rsidTr="007E284B">
        <w:trPr>
          <w:cantSplit/>
          <w:trHeight w:val="1432"/>
        </w:trPr>
        <w:tc>
          <w:tcPr>
            <w:tcW w:w="9828" w:type="dxa"/>
            <w:tcBorders>
              <w:bottom w:val="double" w:sz="4" w:space="0" w:color="auto"/>
            </w:tcBorders>
            <w:shd w:val="clear" w:color="auto" w:fill="FFFFFF"/>
            <w:vAlign w:val="center"/>
          </w:tcPr>
          <w:p w:rsidR="007E400D" w:rsidRPr="008810CD" w:rsidRDefault="007E400D" w:rsidP="007E284B">
            <w:pPr>
              <w:spacing w:after="60"/>
              <w:ind w:right="-108"/>
              <w:jc w:val="center"/>
              <w:rPr>
                <w:rFonts w:ascii="AcademyC" w:hAnsi="AcademyC"/>
                <w:b/>
                <w:sz w:val="32"/>
                <w:szCs w:val="32"/>
              </w:rPr>
            </w:pPr>
            <w:r w:rsidRPr="008810CD">
              <w:rPr>
                <w:rFonts w:ascii="AcademyC" w:hAnsi="AcademyC"/>
                <w:b/>
                <w:sz w:val="32"/>
                <w:szCs w:val="32"/>
              </w:rPr>
              <w:t>ОБЩЕРОССИЙСКАЯ ОБЩЕСТВЕННАЯ ОРГАНИЗАЦИЯ</w:t>
            </w:r>
          </w:p>
          <w:p w:rsidR="007E400D" w:rsidRPr="008810CD" w:rsidRDefault="007E400D" w:rsidP="007E284B">
            <w:pPr>
              <w:jc w:val="center"/>
              <w:rPr>
                <w:rFonts w:ascii="Georgia" w:hAnsi="Georgia"/>
                <w:b/>
                <w:w w:val="110"/>
                <w:sz w:val="32"/>
                <w:szCs w:val="32"/>
              </w:rPr>
            </w:pPr>
            <w:r w:rsidRPr="008810CD">
              <w:rPr>
                <w:rFonts w:ascii="Georgia" w:hAnsi="Georgia"/>
                <w:b/>
                <w:w w:val="110"/>
                <w:sz w:val="32"/>
                <w:szCs w:val="32"/>
              </w:rPr>
              <w:t>«АССОЦИАЦИЯ ЮРИСТОВ РОССИИ»</w:t>
            </w:r>
          </w:p>
          <w:p w:rsidR="007E400D" w:rsidRPr="00616091" w:rsidRDefault="007E400D" w:rsidP="007E284B">
            <w:pPr>
              <w:spacing w:before="120" w:after="60"/>
              <w:ind w:right="-108"/>
              <w:jc w:val="center"/>
              <w:rPr>
                <w:rStyle w:val="af4"/>
                <w:rFonts w:ascii="Georgia" w:hAnsi="Georgia"/>
                <w:b/>
                <w:sz w:val="32"/>
                <w:szCs w:val="32"/>
                <w:u w:val="single"/>
              </w:rPr>
            </w:pPr>
            <w:r w:rsidRPr="0050602D">
              <w:rPr>
                <w:rFonts w:ascii="Georgia" w:hAnsi="Georgia"/>
                <w:b/>
                <w:sz w:val="32"/>
                <w:szCs w:val="32"/>
                <w:u w:val="single"/>
              </w:rPr>
              <w:t>МОСКОВСКОЕ ОТДЕЛЕНИЕ</w:t>
            </w:r>
          </w:p>
          <w:p w:rsidR="007E400D" w:rsidRPr="0050602D" w:rsidRDefault="007E400D" w:rsidP="007E284B">
            <w:pPr>
              <w:spacing w:before="120" w:after="60"/>
              <w:ind w:right="-108"/>
              <w:jc w:val="center"/>
              <w:rPr>
                <w:rFonts w:ascii="Georgia" w:hAnsi="Georgia"/>
                <w:b/>
                <w:sz w:val="44"/>
                <w:szCs w:val="44"/>
                <w:u w:val="single"/>
              </w:rPr>
            </w:pPr>
            <w:r w:rsidRPr="003D5B5B">
              <w:rPr>
                <w:rStyle w:val="af4"/>
                <w:rFonts w:ascii="Times New Roman" w:hAnsi="Times New Roman"/>
                <w:b/>
                <w:bCs/>
                <w:sz w:val="24"/>
                <w:szCs w:val="24"/>
              </w:rPr>
              <w:t xml:space="preserve">Комиссия </w:t>
            </w:r>
            <w:r w:rsidRPr="003D5B5B">
              <w:rPr>
                <w:rStyle w:val="af4"/>
                <w:b/>
                <w:bCs/>
                <w:sz w:val="24"/>
                <w:szCs w:val="24"/>
              </w:rPr>
              <w:t>по</w:t>
            </w:r>
            <w:r w:rsidRPr="003D2AE2">
              <w:rPr>
                <w:rFonts w:ascii="Times New Roman" w:hAnsi="Times New Roman"/>
                <w:b/>
                <w:bCs/>
                <w:sz w:val="24"/>
                <w:szCs w:val="24"/>
              </w:rPr>
              <w:t xml:space="preserve"> правовому обеспечению Цифровой экономики</w:t>
            </w:r>
          </w:p>
        </w:tc>
      </w:tr>
      <w:tr w:rsidR="007E400D" w:rsidRPr="00C47E47" w:rsidTr="007E284B">
        <w:trPr>
          <w:cantSplit/>
          <w:trHeight w:val="607"/>
        </w:trPr>
        <w:tc>
          <w:tcPr>
            <w:tcW w:w="9828" w:type="dxa"/>
            <w:tcBorders>
              <w:top w:val="double" w:sz="4" w:space="0" w:color="auto"/>
            </w:tcBorders>
            <w:shd w:val="clear" w:color="auto" w:fill="FFFFFF"/>
            <w:vAlign w:val="center"/>
          </w:tcPr>
          <w:p w:rsidR="00D7004D" w:rsidRDefault="00D7004D" w:rsidP="007E284B">
            <w:pPr>
              <w:ind w:left="280"/>
              <w:jc w:val="center"/>
              <w:rPr>
                <w:rFonts w:ascii="Times New Roman" w:hAnsi="Times New Roman"/>
                <w:sz w:val="20"/>
                <w:szCs w:val="20"/>
              </w:rPr>
            </w:pPr>
          </w:p>
          <w:p w:rsidR="007E400D" w:rsidRPr="008A56F6" w:rsidRDefault="007E400D" w:rsidP="007E284B">
            <w:pPr>
              <w:ind w:left="280"/>
              <w:jc w:val="center"/>
              <w:rPr>
                <w:rFonts w:ascii="Times New Roman" w:hAnsi="Times New Roman"/>
                <w:sz w:val="20"/>
                <w:szCs w:val="20"/>
              </w:rPr>
            </w:pPr>
            <w:r w:rsidRPr="008A56F6">
              <w:rPr>
                <w:rFonts w:ascii="Times New Roman" w:hAnsi="Times New Roman"/>
                <w:sz w:val="20"/>
                <w:szCs w:val="20"/>
              </w:rPr>
              <w:t xml:space="preserve">119991, г. Москва, ГСП-1, Ленинские горы, д. 1, стр. 13, </w:t>
            </w:r>
            <w:r w:rsidRPr="008A56F6">
              <w:rPr>
                <w:rFonts w:ascii="Times New Roman" w:hAnsi="Times New Roman"/>
                <w:sz w:val="20"/>
                <w:szCs w:val="20"/>
              </w:rPr>
              <w:br/>
              <w:t>4 учебный корпус МГУ имени М.В. Ломоносова, Юридический факультет, ауд. 611 а</w:t>
            </w:r>
            <w:r w:rsidRPr="008A56F6">
              <w:rPr>
                <w:rFonts w:ascii="Times New Roman" w:hAnsi="Times New Roman"/>
                <w:sz w:val="20"/>
                <w:szCs w:val="20"/>
              </w:rPr>
              <w:br/>
              <w:t xml:space="preserve"> тел.: 8 (495) 939-14-97; e-mail: </w:t>
            </w:r>
            <w:hyperlink r:id="rId9" w:history="1">
              <w:r w:rsidRPr="008A56F6">
                <w:rPr>
                  <w:rStyle w:val="a6"/>
                  <w:rFonts w:ascii="Times New Roman" w:hAnsi="Times New Roman"/>
                  <w:sz w:val="20"/>
                  <w:szCs w:val="20"/>
                </w:rPr>
                <w:t>digitallaw@alrf.msk.ru</w:t>
              </w:r>
            </w:hyperlink>
            <w:hyperlink r:id="rId10" w:history="1">
              <w:r w:rsidRPr="008A56F6">
                <w:rPr>
                  <w:rStyle w:val="a6"/>
                  <w:rFonts w:ascii="Times New Roman" w:hAnsi="Times New Roman"/>
                  <w:sz w:val="20"/>
                  <w:szCs w:val="20"/>
                </w:rPr>
                <w:t>http://www.alrf.msk.ru</w:t>
              </w:r>
            </w:hyperlink>
          </w:p>
        </w:tc>
      </w:tr>
    </w:tbl>
    <w:p w:rsidR="00D7004D" w:rsidRDefault="00D7004D" w:rsidP="00192D8F">
      <w:pPr>
        <w:spacing w:line="360" w:lineRule="auto"/>
        <w:ind w:firstLine="709"/>
        <w:jc w:val="both"/>
        <w:rPr>
          <w:rFonts w:ascii="Times New Roman" w:hAnsi="Times New Roman"/>
          <w:b/>
          <w:bCs/>
          <w:color w:val="000000" w:themeColor="text1"/>
          <w:sz w:val="24"/>
          <w:szCs w:val="24"/>
        </w:rPr>
      </w:pPr>
      <w:r>
        <w:rPr>
          <w:rFonts w:ascii="Times New Roman" w:hAnsi="Times New Roman"/>
          <w:sz w:val="24"/>
          <w:szCs w:val="24"/>
        </w:rPr>
        <w:t>«</w:t>
      </w:r>
      <w:r w:rsidR="00247212" w:rsidRPr="007E400D">
        <w:rPr>
          <w:rFonts w:ascii="Times New Roman" w:hAnsi="Times New Roman"/>
          <w:sz w:val="24"/>
          <w:szCs w:val="24"/>
        </w:rPr>
        <w:t>0</w:t>
      </w:r>
      <w:r w:rsidR="00126EFE">
        <w:rPr>
          <w:rFonts w:ascii="Times New Roman" w:hAnsi="Times New Roman"/>
          <w:sz w:val="24"/>
          <w:szCs w:val="24"/>
        </w:rPr>
        <w:t>5</w:t>
      </w:r>
      <w:r>
        <w:rPr>
          <w:rFonts w:ascii="Times New Roman" w:hAnsi="Times New Roman"/>
          <w:sz w:val="24"/>
          <w:szCs w:val="24"/>
        </w:rPr>
        <w:t>»</w:t>
      </w:r>
      <w:r w:rsidR="00247212" w:rsidRPr="007E400D">
        <w:rPr>
          <w:rFonts w:ascii="Times New Roman" w:hAnsi="Times New Roman"/>
          <w:sz w:val="24"/>
          <w:szCs w:val="24"/>
        </w:rPr>
        <w:t xml:space="preserve"> августа</w:t>
      </w:r>
      <w:r w:rsidR="006C79CC" w:rsidRPr="007E400D">
        <w:rPr>
          <w:rFonts w:ascii="Times New Roman" w:hAnsi="Times New Roman"/>
          <w:sz w:val="24"/>
          <w:szCs w:val="24"/>
        </w:rPr>
        <w:t xml:space="preserve"> 2019 года </w:t>
      </w:r>
      <w:r w:rsidR="006C79CC" w:rsidRPr="007E400D">
        <w:rPr>
          <w:rFonts w:ascii="Times New Roman" w:hAnsi="Times New Roman"/>
          <w:sz w:val="24"/>
          <w:szCs w:val="24"/>
        </w:rPr>
        <w:tab/>
      </w:r>
      <w:r w:rsidR="006C79CC" w:rsidRPr="007E400D">
        <w:rPr>
          <w:rFonts w:ascii="Times New Roman" w:hAnsi="Times New Roman"/>
          <w:sz w:val="24"/>
          <w:szCs w:val="24"/>
        </w:rPr>
        <w:tab/>
      </w:r>
      <w:r w:rsidR="006C79CC" w:rsidRPr="007E400D">
        <w:rPr>
          <w:rFonts w:ascii="Times New Roman" w:hAnsi="Times New Roman"/>
          <w:sz w:val="24"/>
          <w:szCs w:val="24"/>
        </w:rPr>
        <w:tab/>
      </w:r>
      <w:r w:rsidR="006C79CC" w:rsidRPr="007E400D">
        <w:rPr>
          <w:rFonts w:ascii="Times New Roman" w:hAnsi="Times New Roman"/>
          <w:sz w:val="24"/>
          <w:szCs w:val="24"/>
        </w:rPr>
        <w:tab/>
      </w:r>
      <w:r w:rsidR="006C79CC" w:rsidRPr="007E400D">
        <w:rPr>
          <w:rFonts w:ascii="Times New Roman" w:hAnsi="Times New Roman"/>
          <w:sz w:val="24"/>
          <w:szCs w:val="24"/>
        </w:rPr>
        <w:tab/>
      </w:r>
      <w:r w:rsidR="006C79CC" w:rsidRPr="007E400D">
        <w:rPr>
          <w:rFonts w:ascii="Times New Roman" w:hAnsi="Times New Roman"/>
          <w:sz w:val="24"/>
          <w:szCs w:val="24"/>
        </w:rPr>
        <w:tab/>
      </w:r>
      <w:r w:rsidR="006C79CC" w:rsidRPr="007E400D">
        <w:rPr>
          <w:rFonts w:ascii="Times New Roman" w:hAnsi="Times New Roman"/>
          <w:sz w:val="24"/>
          <w:szCs w:val="24"/>
        </w:rPr>
        <w:tab/>
        <w:t>г. Москва</w:t>
      </w:r>
    </w:p>
    <w:p w:rsidR="007E400D" w:rsidRPr="00192D8F" w:rsidRDefault="006C79CC" w:rsidP="00192D8F">
      <w:pPr>
        <w:spacing w:after="240" w:line="360" w:lineRule="auto"/>
        <w:jc w:val="center"/>
        <w:rPr>
          <w:rFonts w:ascii="Times New Roman" w:hAnsi="Times New Roman"/>
          <w:color w:val="000000" w:themeColor="text1"/>
          <w:sz w:val="24"/>
          <w:szCs w:val="24"/>
        </w:rPr>
      </w:pPr>
      <w:r w:rsidRPr="00192D8F">
        <w:rPr>
          <w:rFonts w:ascii="Times New Roman" w:hAnsi="Times New Roman"/>
          <w:b/>
          <w:bCs/>
          <w:color w:val="000000" w:themeColor="text1"/>
          <w:sz w:val="24"/>
          <w:szCs w:val="24"/>
        </w:rPr>
        <w:t>ЗАКЛЮЧЕНИ</w:t>
      </w:r>
      <w:r w:rsidR="006F75B8" w:rsidRPr="00192D8F">
        <w:rPr>
          <w:rFonts w:ascii="Times New Roman" w:hAnsi="Times New Roman"/>
          <w:b/>
          <w:bCs/>
          <w:color w:val="000000" w:themeColor="text1"/>
          <w:sz w:val="24"/>
          <w:szCs w:val="24"/>
        </w:rPr>
        <w:t>Е</w:t>
      </w:r>
      <w:r w:rsidRPr="00192D8F">
        <w:rPr>
          <w:rFonts w:ascii="Times New Roman" w:hAnsi="Times New Roman"/>
          <w:b/>
          <w:bCs/>
          <w:color w:val="000000" w:themeColor="text1"/>
          <w:sz w:val="24"/>
          <w:szCs w:val="24"/>
        </w:rPr>
        <w:br/>
        <w:t xml:space="preserve">ПО ВОПРОСАМ НАЛОГООБЛОЖЕНИЯ ЦИФРОВЫХ АКТИВОВ: </w:t>
      </w:r>
      <w:r w:rsidRPr="00192D8F">
        <w:rPr>
          <w:rFonts w:ascii="Times New Roman" w:hAnsi="Times New Roman"/>
          <w:b/>
          <w:bCs/>
          <w:color w:val="000000" w:themeColor="text1"/>
          <w:sz w:val="24"/>
          <w:szCs w:val="24"/>
        </w:rPr>
        <w:br/>
      </w:r>
      <w:r w:rsidRPr="00192D8F">
        <w:rPr>
          <w:rFonts w:ascii="Times New Roman" w:hAnsi="Times New Roman"/>
          <w:color w:val="000000" w:themeColor="text1"/>
          <w:sz w:val="24"/>
          <w:szCs w:val="24"/>
        </w:rPr>
        <w:t xml:space="preserve">(МИРОВЫЕ ТРЕНДЫ, ПОСТАНОВКА ПРОБЛЕМ, </w:t>
      </w:r>
      <w:r w:rsidRPr="00192D8F">
        <w:rPr>
          <w:rFonts w:ascii="Times New Roman" w:hAnsi="Times New Roman"/>
          <w:color w:val="000000" w:themeColor="text1"/>
          <w:sz w:val="24"/>
          <w:szCs w:val="24"/>
        </w:rPr>
        <w:br/>
        <w:t>ПРЕДЛОЖЕНИЯ ЗАКОНОДАТЕЛЬНЫХ ИЗМЕНЕНИЙ)</w:t>
      </w:r>
    </w:p>
    <w:p w:rsidR="006C79CC" w:rsidRPr="00192D8F" w:rsidRDefault="006C79CC" w:rsidP="00192D8F">
      <w:pPr>
        <w:spacing w:after="0" w:line="360" w:lineRule="auto"/>
        <w:ind w:firstLine="708"/>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30 июля 2019 года в Центральном аппарате Ассоциации Юристов России состоялось заседание Комиссии по правовому обеспечению Цифровой экономики Московского отделения АЮР </w:t>
      </w:r>
      <w:r w:rsidR="00247212" w:rsidRPr="00192D8F">
        <w:rPr>
          <w:rFonts w:ascii="Times New Roman" w:hAnsi="Times New Roman"/>
          <w:color w:val="000000" w:themeColor="text1"/>
          <w:sz w:val="24"/>
          <w:szCs w:val="24"/>
        </w:rPr>
        <w:t xml:space="preserve">(далее - Комиссия) </w:t>
      </w:r>
      <w:r w:rsidRPr="00192D8F">
        <w:rPr>
          <w:rFonts w:ascii="Times New Roman" w:hAnsi="Times New Roman"/>
          <w:color w:val="000000" w:themeColor="text1"/>
          <w:sz w:val="24"/>
          <w:szCs w:val="24"/>
        </w:rPr>
        <w:t>по теме «Цифровые активы: вопросы налогообложения».</w:t>
      </w:r>
      <w:r w:rsidR="00503DB1">
        <w:rPr>
          <w:rFonts w:ascii="Times New Roman" w:hAnsi="Times New Roman"/>
          <w:color w:val="000000" w:themeColor="text1"/>
          <w:sz w:val="24"/>
          <w:szCs w:val="24"/>
        </w:rPr>
        <w:t xml:space="preserve"> </w:t>
      </w:r>
      <w:r w:rsidRPr="00192D8F">
        <w:rPr>
          <w:rFonts w:ascii="Times New Roman" w:hAnsi="Times New Roman"/>
          <w:color w:val="000000" w:themeColor="text1"/>
          <w:sz w:val="24"/>
          <w:szCs w:val="24"/>
        </w:rPr>
        <w:t xml:space="preserve">В заседании и дискуссии приняли участие члены Комиссии и центрального аппарата АЮР, представители международных и российских ассоциаций, фискальных органов, экс-судьи, юристы, налоговые консультанты, представители бизнеса и научного </w:t>
      </w:r>
      <w:r w:rsidR="00503DB1" w:rsidRPr="00192D8F">
        <w:rPr>
          <w:rFonts w:ascii="Times New Roman" w:hAnsi="Times New Roman"/>
          <w:color w:val="000000" w:themeColor="text1"/>
          <w:sz w:val="24"/>
          <w:szCs w:val="24"/>
        </w:rPr>
        <w:t>сообщества. По</w:t>
      </w:r>
      <w:r w:rsidRPr="00192D8F">
        <w:rPr>
          <w:rFonts w:ascii="Times New Roman" w:hAnsi="Times New Roman"/>
          <w:color w:val="000000" w:themeColor="text1"/>
          <w:sz w:val="24"/>
          <w:szCs w:val="24"/>
        </w:rPr>
        <w:t xml:space="preserve"> результатам заседания Комиссия считает целесообразным опубликовать заключение о следующем.</w:t>
      </w:r>
    </w:p>
    <w:p w:rsidR="006C79CC" w:rsidRPr="00192D8F" w:rsidRDefault="00592EB6" w:rsidP="00192D8F">
      <w:pPr>
        <w:spacing w:before="240" w:after="240" w:line="360" w:lineRule="auto"/>
        <w:ind w:firstLine="709"/>
        <w:jc w:val="center"/>
        <w:rPr>
          <w:rFonts w:ascii="Times New Roman" w:hAnsi="Times New Roman"/>
          <w:color w:val="000000" w:themeColor="text1"/>
          <w:sz w:val="24"/>
          <w:szCs w:val="24"/>
        </w:rPr>
      </w:pPr>
      <w:r w:rsidRPr="00192D8F">
        <w:rPr>
          <w:rFonts w:ascii="Times New Roman" w:hAnsi="Times New Roman"/>
          <w:b/>
          <w:bCs/>
          <w:color w:val="000000" w:themeColor="text1"/>
          <w:sz w:val="24"/>
          <w:szCs w:val="24"/>
        </w:rPr>
        <w:t>ВВЕДЕНИЕ</w:t>
      </w:r>
    </w:p>
    <w:p w:rsidR="006C79CC" w:rsidRPr="00192D8F" w:rsidRDefault="006C79CC" w:rsidP="00192D8F">
      <w:pPr>
        <w:spacing w:after="0" w:line="360" w:lineRule="auto"/>
        <w:ind w:firstLine="709"/>
        <w:jc w:val="both"/>
        <w:rPr>
          <w:rFonts w:ascii="Times New Roman" w:eastAsia="Times New Roman" w:hAnsi="Times New Roman"/>
          <w:color w:val="000000" w:themeColor="text1"/>
          <w:sz w:val="24"/>
          <w:szCs w:val="24"/>
          <w:lang w:eastAsia="ru-RU"/>
        </w:rPr>
      </w:pPr>
      <w:r w:rsidRPr="00192D8F">
        <w:rPr>
          <w:rFonts w:ascii="Times New Roman" w:eastAsia="Times New Roman" w:hAnsi="Times New Roman"/>
          <w:color w:val="000000" w:themeColor="text1"/>
          <w:sz w:val="24"/>
          <w:szCs w:val="24"/>
          <w:lang w:eastAsia="ru-RU"/>
        </w:rPr>
        <w:t>Осенью 2019 года вступают в силу изменения в Гражданский кодекс РФ</w:t>
      </w:r>
      <w:r w:rsidR="00247212" w:rsidRPr="00192D8F">
        <w:rPr>
          <w:rFonts w:ascii="Times New Roman" w:eastAsia="Times New Roman" w:hAnsi="Times New Roman"/>
          <w:color w:val="000000" w:themeColor="text1"/>
          <w:sz w:val="24"/>
          <w:szCs w:val="24"/>
          <w:lang w:eastAsia="ru-RU"/>
        </w:rPr>
        <w:t xml:space="preserve"> (далее – ГК РФ)</w:t>
      </w:r>
      <w:r w:rsidRPr="00192D8F">
        <w:rPr>
          <w:rFonts w:ascii="Times New Roman" w:eastAsia="Times New Roman" w:hAnsi="Times New Roman"/>
          <w:color w:val="000000" w:themeColor="text1"/>
          <w:sz w:val="24"/>
          <w:szCs w:val="24"/>
          <w:lang w:eastAsia="ru-RU"/>
        </w:rPr>
        <w:t xml:space="preserve">, которые вводят в оборот новую правовую сущность – «цифровые права». </w:t>
      </w:r>
    </w:p>
    <w:p w:rsidR="006C79CC" w:rsidRPr="00192D8F" w:rsidRDefault="006C79CC" w:rsidP="00192D8F">
      <w:pPr>
        <w:spacing w:after="0" w:line="360" w:lineRule="auto"/>
        <w:ind w:firstLine="709"/>
        <w:jc w:val="both"/>
        <w:rPr>
          <w:rFonts w:ascii="Times New Roman" w:eastAsia="Times New Roman" w:hAnsi="Times New Roman"/>
          <w:i/>
          <w:iCs/>
          <w:color w:val="000000" w:themeColor="text1"/>
          <w:sz w:val="24"/>
          <w:szCs w:val="24"/>
          <w:lang w:eastAsia="ru-RU"/>
        </w:rPr>
      </w:pPr>
      <w:r w:rsidRPr="00192D8F">
        <w:rPr>
          <w:rFonts w:ascii="Times New Roman" w:eastAsia="Times New Roman" w:hAnsi="Times New Roman"/>
          <w:color w:val="000000" w:themeColor="text1"/>
          <w:sz w:val="24"/>
          <w:szCs w:val="24"/>
          <w:lang w:eastAsia="ru-RU"/>
        </w:rPr>
        <w:t xml:space="preserve">Так статья 128 ГК РФ была изложена законодателем в следующей </w:t>
      </w:r>
      <w:r w:rsidR="00503DB1" w:rsidRPr="00192D8F">
        <w:rPr>
          <w:rFonts w:ascii="Times New Roman" w:eastAsia="Times New Roman" w:hAnsi="Times New Roman"/>
          <w:color w:val="000000" w:themeColor="text1"/>
          <w:sz w:val="24"/>
          <w:szCs w:val="24"/>
          <w:lang w:eastAsia="ru-RU"/>
        </w:rPr>
        <w:t>редакции:</w:t>
      </w:r>
      <w:r w:rsidR="00503DB1" w:rsidRPr="00192D8F">
        <w:rPr>
          <w:rFonts w:ascii="Times New Roman" w:eastAsia="Times New Roman" w:hAnsi="Times New Roman"/>
          <w:i/>
          <w:iCs/>
          <w:color w:val="000000" w:themeColor="text1"/>
          <w:sz w:val="24"/>
          <w:szCs w:val="24"/>
          <w:lang w:eastAsia="ru-RU"/>
        </w:rPr>
        <w:t xml:space="preserve"> «К</w:t>
      </w:r>
      <w:r w:rsidRPr="00192D8F">
        <w:rPr>
          <w:rFonts w:ascii="Times New Roman" w:eastAsia="Times New Roman" w:hAnsi="Times New Roman"/>
          <w:i/>
          <w:iCs/>
          <w:color w:val="000000" w:themeColor="text1"/>
          <w:sz w:val="24"/>
          <w:szCs w:val="24"/>
          <w:lang w:eastAsia="ru-RU"/>
        </w:rPr>
        <w:t xml:space="preserve">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w:t>
      </w:r>
      <w:r w:rsidRPr="00192D8F">
        <w:rPr>
          <w:rFonts w:ascii="Times New Roman" w:eastAsia="Times New Roman" w:hAnsi="Times New Roman"/>
          <w:i/>
          <w:iCs/>
          <w:color w:val="000000" w:themeColor="text1"/>
          <w:sz w:val="24"/>
          <w:szCs w:val="24"/>
          <w:lang w:eastAsia="ru-RU"/>
        </w:rPr>
        <w:lastRenderedPageBreak/>
        <w:t>приравненные к ним средства индивидуализации (интеллектуальная собственность); нематериальные блага».</w:t>
      </w:r>
    </w:p>
    <w:p w:rsidR="006C79CC" w:rsidRPr="00192D8F" w:rsidRDefault="006C79CC" w:rsidP="00192D8F">
      <w:pPr>
        <w:spacing w:after="0" w:line="360" w:lineRule="auto"/>
        <w:ind w:firstLine="709"/>
        <w:jc w:val="both"/>
        <w:rPr>
          <w:rFonts w:ascii="Times New Roman" w:eastAsia="Times New Roman" w:hAnsi="Times New Roman"/>
          <w:i/>
          <w:color w:val="000000" w:themeColor="text1"/>
          <w:sz w:val="24"/>
          <w:szCs w:val="24"/>
          <w:lang w:eastAsia="ru-RU"/>
        </w:rPr>
      </w:pPr>
      <w:r w:rsidRPr="00192D8F">
        <w:rPr>
          <w:rFonts w:ascii="Times New Roman" w:eastAsia="Times New Roman" w:hAnsi="Times New Roman"/>
          <w:color w:val="000000" w:themeColor="text1"/>
          <w:sz w:val="24"/>
          <w:szCs w:val="24"/>
          <w:lang w:eastAsia="ru-RU"/>
        </w:rPr>
        <w:t xml:space="preserve">В свою очередь, </w:t>
      </w:r>
      <w:r w:rsidRPr="00192D8F">
        <w:rPr>
          <w:rFonts w:ascii="Times New Roman" w:hAnsi="Times New Roman"/>
          <w:color w:val="000000" w:themeColor="text1"/>
          <w:sz w:val="24"/>
          <w:szCs w:val="24"/>
        </w:rPr>
        <w:t xml:space="preserve">согласно статье 141.1 ГК РФ, </w:t>
      </w:r>
      <w:bookmarkStart w:id="1" w:name="dst100014"/>
      <w:bookmarkEnd w:id="1"/>
      <w:r w:rsidRPr="00192D8F">
        <w:rPr>
          <w:rFonts w:ascii="Times New Roman" w:hAnsi="Times New Roman"/>
          <w:i/>
          <w:color w:val="000000" w:themeColor="text1"/>
          <w:sz w:val="24"/>
          <w:szCs w:val="24"/>
        </w:rPr>
        <w:t>«ц</w:t>
      </w:r>
      <w:r w:rsidRPr="00192D8F">
        <w:rPr>
          <w:rFonts w:ascii="Times New Roman" w:eastAsia="Times New Roman" w:hAnsi="Times New Roman"/>
          <w:i/>
          <w:color w:val="000000" w:themeColor="text1"/>
          <w:sz w:val="24"/>
          <w:szCs w:val="24"/>
          <w:lang w:eastAsia="ru-RU"/>
        </w:rPr>
        <w:t>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A0039" w:rsidRPr="00192D8F" w:rsidRDefault="002A0039"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Проект федерального закона о краудфандинге - «О привлечении инвестиций с использованием инвестиционных платформ» (законопроект № 419090-7), принятый Государственной думой и одобренный Советом Федерации, предусматривает выпуск и оборот цифровых свидетельств – </w:t>
      </w:r>
      <w:r w:rsidR="00503DB1" w:rsidRPr="00192D8F">
        <w:rPr>
          <w:rFonts w:ascii="Times New Roman" w:hAnsi="Times New Roman"/>
          <w:bCs/>
          <w:color w:val="000000" w:themeColor="text1"/>
          <w:sz w:val="24"/>
          <w:szCs w:val="24"/>
        </w:rPr>
        <w:t>не эмиссионных</w:t>
      </w:r>
      <w:r w:rsidRPr="00192D8F">
        <w:rPr>
          <w:rFonts w:ascii="Times New Roman" w:hAnsi="Times New Roman"/>
          <w:bCs/>
          <w:color w:val="000000" w:themeColor="text1"/>
          <w:sz w:val="24"/>
          <w:szCs w:val="24"/>
        </w:rPr>
        <w:t xml:space="preserve"> бездокументарных ценных бумаг, не имеющих номинальной стоимости и удостоверяющих принадлежность ее владельцу утилитарного цифрового права (ст. 8 и ст. 9).</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Вместе с тем, соответствующий</w:t>
      </w:r>
      <w:r w:rsidR="009B16BC" w:rsidRPr="00192D8F">
        <w:rPr>
          <w:rFonts w:ascii="Times New Roman" w:hAnsi="Times New Roman"/>
          <w:bCs/>
          <w:color w:val="000000" w:themeColor="text1"/>
          <w:sz w:val="24"/>
          <w:szCs w:val="24"/>
        </w:rPr>
        <w:t xml:space="preserve"> проект</w:t>
      </w:r>
      <w:r w:rsidRPr="00192D8F">
        <w:rPr>
          <w:rFonts w:ascii="Times New Roman" w:hAnsi="Times New Roman"/>
          <w:bCs/>
          <w:color w:val="000000" w:themeColor="text1"/>
          <w:sz w:val="24"/>
          <w:szCs w:val="24"/>
        </w:rPr>
        <w:t xml:space="preserve"> закон</w:t>
      </w:r>
      <w:r w:rsidR="009B16BC" w:rsidRPr="00192D8F">
        <w:rPr>
          <w:rFonts w:ascii="Times New Roman" w:hAnsi="Times New Roman"/>
          <w:bCs/>
          <w:color w:val="000000" w:themeColor="text1"/>
          <w:sz w:val="24"/>
          <w:szCs w:val="24"/>
        </w:rPr>
        <w:t>а</w:t>
      </w:r>
      <w:r w:rsidRPr="00192D8F">
        <w:rPr>
          <w:rFonts w:ascii="Times New Roman" w:hAnsi="Times New Roman"/>
          <w:bCs/>
          <w:color w:val="000000" w:themeColor="text1"/>
          <w:sz w:val="24"/>
          <w:szCs w:val="24"/>
        </w:rPr>
        <w:t xml:space="preserve"> «О цифровых финансовых активах»</w:t>
      </w:r>
      <w:r w:rsidR="009B16BC" w:rsidRPr="00192D8F">
        <w:rPr>
          <w:rFonts w:ascii="Times New Roman" w:hAnsi="Times New Roman"/>
          <w:bCs/>
          <w:color w:val="000000" w:themeColor="text1"/>
          <w:sz w:val="24"/>
          <w:szCs w:val="24"/>
        </w:rPr>
        <w:t xml:space="preserve"> № 419059-7</w:t>
      </w:r>
      <w:r w:rsidRPr="00192D8F">
        <w:rPr>
          <w:rFonts w:ascii="Times New Roman" w:hAnsi="Times New Roman"/>
          <w:bCs/>
          <w:color w:val="000000" w:themeColor="text1"/>
          <w:sz w:val="24"/>
          <w:szCs w:val="24"/>
        </w:rPr>
        <w:t xml:space="preserve"> (далее - ЦФА), до настоящего времени не принят.</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По словам профильных депутатов</w:t>
      </w:r>
      <w:r w:rsidRPr="00192D8F">
        <w:rPr>
          <w:rFonts w:ascii="Times New Roman" w:hAnsi="Times New Roman"/>
          <w:bCs/>
          <w:color w:val="000000" w:themeColor="text1"/>
          <w:sz w:val="24"/>
          <w:szCs w:val="24"/>
          <w:vertAlign w:val="superscript"/>
        </w:rPr>
        <w:footnoteReference w:id="1"/>
      </w:r>
      <w:r w:rsidRPr="00192D8F">
        <w:rPr>
          <w:rFonts w:ascii="Times New Roman" w:hAnsi="Times New Roman"/>
          <w:bCs/>
          <w:color w:val="000000" w:themeColor="text1"/>
          <w:sz w:val="24"/>
          <w:szCs w:val="24"/>
        </w:rPr>
        <w:t xml:space="preserve">, законопроект о ЦФА может быть </w:t>
      </w:r>
      <w:r w:rsidR="006F75B8" w:rsidRPr="00192D8F">
        <w:rPr>
          <w:rFonts w:ascii="Times New Roman" w:hAnsi="Times New Roman"/>
          <w:bCs/>
          <w:color w:val="000000" w:themeColor="text1"/>
          <w:sz w:val="24"/>
          <w:szCs w:val="24"/>
        </w:rPr>
        <w:t>рассмотрен</w:t>
      </w:r>
      <w:r w:rsidRPr="00192D8F">
        <w:rPr>
          <w:rFonts w:ascii="Times New Roman" w:hAnsi="Times New Roman"/>
          <w:bCs/>
          <w:color w:val="000000" w:themeColor="text1"/>
          <w:sz w:val="24"/>
          <w:szCs w:val="24"/>
        </w:rPr>
        <w:t xml:space="preserve"> осенью 2019 года.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Однако ранее высказывалось</w:t>
      </w:r>
      <w:r w:rsidR="009B16BC" w:rsidRPr="00192D8F">
        <w:rPr>
          <w:rFonts w:ascii="Times New Roman" w:hAnsi="Times New Roman"/>
          <w:bCs/>
          <w:color w:val="000000" w:themeColor="text1"/>
          <w:sz w:val="24"/>
          <w:szCs w:val="24"/>
        </w:rPr>
        <w:t xml:space="preserve"> мнение</w:t>
      </w:r>
      <w:r w:rsidR="0092174D" w:rsidRPr="00192D8F">
        <w:rPr>
          <w:rStyle w:val="a5"/>
          <w:rFonts w:ascii="Times New Roman" w:hAnsi="Times New Roman"/>
          <w:bCs/>
          <w:color w:val="000000" w:themeColor="text1"/>
          <w:sz w:val="24"/>
          <w:szCs w:val="24"/>
        </w:rPr>
        <w:footnoteReference w:id="2"/>
      </w:r>
      <w:r w:rsidRPr="00192D8F">
        <w:rPr>
          <w:rFonts w:ascii="Times New Roman" w:hAnsi="Times New Roman"/>
          <w:bCs/>
          <w:color w:val="000000" w:themeColor="text1"/>
          <w:sz w:val="24"/>
          <w:szCs w:val="24"/>
        </w:rPr>
        <w:t>, что даже в случае принятия закона о ЦФА вопросы налогообложения дополнительного профильного регулирования не получат.</w:t>
      </w:r>
    </w:p>
    <w:p w:rsidR="007E400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Таким образом, оборот новых сущностей - цифровых прав</w:t>
      </w:r>
      <w:r w:rsidR="009B16BC" w:rsidRPr="00192D8F">
        <w:rPr>
          <w:rFonts w:ascii="Times New Roman" w:hAnsi="Times New Roman"/>
          <w:bCs/>
          <w:color w:val="000000" w:themeColor="text1"/>
          <w:sz w:val="24"/>
          <w:szCs w:val="24"/>
        </w:rPr>
        <w:t>,</w:t>
      </w:r>
      <w:r w:rsidRPr="00192D8F">
        <w:rPr>
          <w:rFonts w:ascii="Times New Roman" w:hAnsi="Times New Roman"/>
          <w:bCs/>
          <w:color w:val="000000" w:themeColor="text1"/>
          <w:sz w:val="24"/>
          <w:szCs w:val="24"/>
        </w:rPr>
        <w:t xml:space="preserve"> будет подчиняться общим правилам налогообложения имущественных прав, что может привести к ряду затруднений на практике.</w:t>
      </w:r>
    </w:p>
    <w:p w:rsidR="007E400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Во-первых, необходимо напомнить, что для целей Налогового кодекса РФ (далее – НК РФ) понятие имущественных прав прямо исключено из гражданско-правовой категории «имущество», и оборот отдельных видов имущественных прав характеризуется значительными особенностями.</w:t>
      </w:r>
    </w:p>
    <w:p w:rsidR="007E400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частности, НК РФ содержит многочисленные специальные нормы, регулирующие налоговый учет </w:t>
      </w:r>
      <w:r w:rsidR="006F75B8" w:rsidRPr="00192D8F">
        <w:rPr>
          <w:rFonts w:ascii="Times New Roman" w:hAnsi="Times New Roman"/>
          <w:bCs/>
          <w:color w:val="000000" w:themeColor="text1"/>
          <w:sz w:val="24"/>
          <w:szCs w:val="24"/>
        </w:rPr>
        <w:t>отдельных видов</w:t>
      </w:r>
      <w:r w:rsidRPr="00192D8F">
        <w:rPr>
          <w:rFonts w:ascii="Times New Roman" w:hAnsi="Times New Roman"/>
          <w:bCs/>
          <w:color w:val="000000" w:themeColor="text1"/>
          <w:sz w:val="24"/>
          <w:szCs w:val="24"/>
        </w:rPr>
        <w:t xml:space="preserve"> имущественных прав</w:t>
      </w:r>
      <w:r w:rsidR="006F75B8" w:rsidRPr="00192D8F">
        <w:rPr>
          <w:rFonts w:ascii="Times New Roman" w:hAnsi="Times New Roman"/>
          <w:bCs/>
          <w:color w:val="000000" w:themeColor="text1"/>
          <w:sz w:val="24"/>
          <w:szCs w:val="24"/>
        </w:rPr>
        <w:t>, например, таких</w:t>
      </w:r>
      <w:r w:rsidRPr="00192D8F">
        <w:rPr>
          <w:rFonts w:ascii="Times New Roman" w:hAnsi="Times New Roman"/>
          <w:bCs/>
          <w:color w:val="000000" w:themeColor="text1"/>
          <w:sz w:val="24"/>
          <w:szCs w:val="24"/>
        </w:rPr>
        <w:t xml:space="preserve"> как доли в обществах с ограниченной ответственностью. Отдельное регулирование по НДС предусмотрено</w:t>
      </w:r>
      <w:r w:rsidR="006F75B8" w:rsidRPr="00192D8F">
        <w:rPr>
          <w:rFonts w:ascii="Times New Roman" w:hAnsi="Times New Roman"/>
          <w:bCs/>
          <w:color w:val="000000" w:themeColor="text1"/>
          <w:sz w:val="24"/>
          <w:szCs w:val="24"/>
        </w:rPr>
        <w:t>, например,</w:t>
      </w:r>
      <w:r w:rsidRPr="00192D8F">
        <w:rPr>
          <w:rFonts w:ascii="Times New Roman" w:hAnsi="Times New Roman"/>
          <w:bCs/>
          <w:color w:val="000000" w:themeColor="text1"/>
          <w:sz w:val="24"/>
          <w:szCs w:val="24"/>
        </w:rPr>
        <w:t xml:space="preserve"> для прав, вытекающих из договоров аренды или долевого </w:t>
      </w:r>
      <w:r w:rsidRPr="00192D8F">
        <w:rPr>
          <w:rFonts w:ascii="Times New Roman" w:hAnsi="Times New Roman"/>
          <w:bCs/>
          <w:color w:val="000000" w:themeColor="text1"/>
          <w:sz w:val="24"/>
          <w:szCs w:val="24"/>
        </w:rPr>
        <w:lastRenderedPageBreak/>
        <w:t xml:space="preserve">участия в строительстве (ст. 155 НК РФ). Налоговый кодекс </w:t>
      </w:r>
      <w:r w:rsidR="006F75B8" w:rsidRPr="00192D8F">
        <w:rPr>
          <w:rFonts w:ascii="Times New Roman" w:hAnsi="Times New Roman"/>
          <w:bCs/>
          <w:color w:val="000000" w:themeColor="text1"/>
          <w:sz w:val="24"/>
          <w:szCs w:val="24"/>
        </w:rPr>
        <w:t xml:space="preserve">РФ </w:t>
      </w:r>
      <w:r w:rsidRPr="00192D8F">
        <w:rPr>
          <w:rFonts w:ascii="Times New Roman" w:hAnsi="Times New Roman"/>
          <w:bCs/>
          <w:color w:val="000000" w:themeColor="text1"/>
          <w:sz w:val="24"/>
          <w:szCs w:val="24"/>
        </w:rPr>
        <w:t>изобилует и другими примерами специального регулирования имущественных прав.</w:t>
      </w:r>
    </w:p>
    <w:p w:rsidR="007E400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Во-вторых, тема налогообложения имущественных прав в целом является малоизученной с теоретической точки зрения, вызывает затруднения на практике как у налогоплательщиков, так и у налоговых органов, и в результате этого порождает судебные споры</w:t>
      </w:r>
      <w:r w:rsidR="009B16BC" w:rsidRPr="00192D8F">
        <w:rPr>
          <w:rFonts w:ascii="Times New Roman" w:hAnsi="Times New Roman"/>
          <w:bCs/>
          <w:color w:val="000000" w:themeColor="text1"/>
          <w:sz w:val="24"/>
          <w:szCs w:val="24"/>
        </w:rPr>
        <w:t xml:space="preserve"> с непредсказуемым исходом</w:t>
      </w:r>
      <w:r w:rsidRPr="00192D8F">
        <w:rPr>
          <w:rFonts w:ascii="Times New Roman" w:hAnsi="Times New Roman"/>
          <w:bCs/>
          <w:color w:val="000000" w:themeColor="text1"/>
          <w:sz w:val="24"/>
          <w:szCs w:val="24"/>
        </w:rPr>
        <w:t>, в том числе на уровне высших судебных инстанций, а порой приводит к существенным негативным последствиям для добросовестных налогоплательщиков в силу несовершенства налогового законодательства.</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 этой связи с учетом специфики нового объекта гражданских прав, целесообразным видится подход, при котором разрешение вопросов налогообложения цифровых прав будет иметь узконаправленный подход, касающийся только и именно налогообложения цифровых финансовых активов, без попытки одновременно разрешить весь имеющийся комплекс проблем и сложностей, возникающих при налогообложении имущественных прав.</w:t>
      </w:r>
    </w:p>
    <w:p w:rsidR="006C79CC"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целях стимулирования развития цифровой экономики в России, ускорения и расширения распространения технологии блокчейн, предлагается внести в законодательство о налогах и сборах ряд изменений стимулирующего характера. </w:t>
      </w:r>
    </w:p>
    <w:p w:rsidR="00592EB6"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Формулируя данные предложения по изменению законодательства, Комиссия руководствовалась умеренно-либеральным подходом, поскольку очевидным является тот факт, что чрезмерное регулирование данной сферы приведет к ее уходу в «серую» и «черную» зоны экономики, и в этом случае потери бюджета будут несоизмеримо больше.</w:t>
      </w:r>
    </w:p>
    <w:p w:rsidR="00592EB6"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
          <w:bCs/>
          <w:color w:val="000000" w:themeColor="text1"/>
          <w:sz w:val="24"/>
          <w:szCs w:val="24"/>
        </w:rPr>
        <w:t>Предлагаемые изменения в законодательство о налогах и сборах позволят:</w:t>
      </w:r>
    </w:p>
    <w:p w:rsidR="00592EB6" w:rsidRPr="00192D8F" w:rsidRDefault="00592EB6"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1. П</w:t>
      </w:r>
      <w:r w:rsidR="006C79CC" w:rsidRPr="00192D8F">
        <w:rPr>
          <w:rFonts w:ascii="Times New Roman" w:hAnsi="Times New Roman"/>
          <w:bCs/>
          <w:color w:val="000000" w:themeColor="text1"/>
          <w:sz w:val="24"/>
          <w:szCs w:val="24"/>
        </w:rPr>
        <w:t>ривлечь в Россию инвесторов, включая иностранные компании и частных инвесторов</w:t>
      </w:r>
      <w:r w:rsidRPr="00192D8F">
        <w:rPr>
          <w:rFonts w:ascii="Times New Roman" w:hAnsi="Times New Roman"/>
          <w:bCs/>
          <w:color w:val="000000" w:themeColor="text1"/>
          <w:sz w:val="24"/>
          <w:szCs w:val="24"/>
        </w:rPr>
        <w:t>.</w:t>
      </w:r>
    </w:p>
    <w:p w:rsidR="00592EB6" w:rsidRPr="00192D8F" w:rsidRDefault="00592EB6"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2. И</w:t>
      </w:r>
      <w:r w:rsidR="006C79CC" w:rsidRPr="00192D8F">
        <w:rPr>
          <w:rFonts w:ascii="Times New Roman" w:hAnsi="Times New Roman"/>
          <w:bCs/>
          <w:color w:val="000000" w:themeColor="text1"/>
          <w:sz w:val="24"/>
          <w:szCs w:val="24"/>
        </w:rPr>
        <w:t>збежать существенных расходов для целей специального администрирования и контроля за налогообложением операций с криптоактивами</w:t>
      </w:r>
      <w:r w:rsidRPr="00192D8F">
        <w:rPr>
          <w:rFonts w:ascii="Times New Roman" w:hAnsi="Times New Roman"/>
          <w:bCs/>
          <w:color w:val="000000" w:themeColor="text1"/>
          <w:sz w:val="24"/>
          <w:szCs w:val="24"/>
        </w:rPr>
        <w:t>.</w:t>
      </w:r>
    </w:p>
    <w:p w:rsidR="00592EB6" w:rsidRPr="00192D8F" w:rsidRDefault="00592EB6"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3. О</w:t>
      </w:r>
      <w:r w:rsidR="006C79CC" w:rsidRPr="00192D8F">
        <w:rPr>
          <w:rFonts w:ascii="Times New Roman" w:hAnsi="Times New Roman"/>
          <w:bCs/>
          <w:color w:val="000000" w:themeColor="text1"/>
          <w:sz w:val="24"/>
          <w:szCs w:val="24"/>
        </w:rPr>
        <w:t>беспечить фискальным органам время и возможность сформировать позицию по вопросам бухгалтерского и налогового учета крипотоактивов и операций с ними, позволят разработать и внедрить принципы налогового администрирования в отношении данного вида деятельности и ее результатов</w:t>
      </w:r>
      <w:r w:rsidRPr="00192D8F">
        <w:rPr>
          <w:rFonts w:ascii="Times New Roman" w:hAnsi="Times New Roman"/>
          <w:bCs/>
          <w:color w:val="000000" w:themeColor="text1"/>
          <w:sz w:val="24"/>
          <w:szCs w:val="24"/>
        </w:rPr>
        <w:t xml:space="preserve">. </w:t>
      </w:r>
    </w:p>
    <w:p w:rsidR="00592EB6" w:rsidRPr="00192D8F" w:rsidRDefault="00592EB6"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4. Н</w:t>
      </w:r>
      <w:r w:rsidR="006C79CC" w:rsidRPr="00192D8F">
        <w:rPr>
          <w:rFonts w:ascii="Times New Roman" w:hAnsi="Times New Roman"/>
          <w:bCs/>
          <w:color w:val="000000" w:themeColor="text1"/>
          <w:sz w:val="24"/>
          <w:szCs w:val="24"/>
        </w:rPr>
        <w:t xml:space="preserve">есмотря на «умеренно-либеральное налогообложение» крипотактивов и, одновременно, благодаря ему, привлеченные в Россию компании, ставшие ее резидентами, будут пополнять бюджет за счет уплаты иных налогов, связанных с их деятельностью в России. </w:t>
      </w:r>
    </w:p>
    <w:p w:rsidR="00592EB6" w:rsidRPr="00192D8F" w:rsidRDefault="00592EB6"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5. О</w:t>
      </w:r>
      <w:r w:rsidR="00485173" w:rsidRPr="00192D8F">
        <w:rPr>
          <w:rFonts w:ascii="Times New Roman" w:hAnsi="Times New Roman"/>
          <w:bCs/>
          <w:color w:val="000000" w:themeColor="text1"/>
          <w:sz w:val="24"/>
          <w:szCs w:val="24"/>
        </w:rPr>
        <w:t xml:space="preserve">беспечить учет лучших практик и стандартов ОЭСР, </w:t>
      </w:r>
      <w:r w:rsidR="00D62D00" w:rsidRPr="00192D8F">
        <w:rPr>
          <w:rFonts w:ascii="Times New Roman" w:hAnsi="Times New Roman"/>
          <w:bCs/>
          <w:color w:val="000000" w:themeColor="text1"/>
          <w:sz w:val="24"/>
          <w:szCs w:val="24"/>
        </w:rPr>
        <w:t>создать благоприятные</w:t>
      </w:r>
      <w:r w:rsidR="00485173" w:rsidRPr="00192D8F">
        <w:rPr>
          <w:rFonts w:ascii="Times New Roman" w:hAnsi="Times New Roman"/>
          <w:bCs/>
          <w:color w:val="000000" w:themeColor="text1"/>
          <w:sz w:val="24"/>
          <w:szCs w:val="24"/>
        </w:rPr>
        <w:t xml:space="preserve"> условия для развития </w:t>
      </w:r>
      <w:r w:rsidR="00D62D00" w:rsidRPr="00192D8F">
        <w:rPr>
          <w:rFonts w:ascii="Times New Roman" w:hAnsi="Times New Roman"/>
          <w:bCs/>
          <w:color w:val="000000" w:themeColor="text1"/>
          <w:sz w:val="24"/>
          <w:szCs w:val="24"/>
        </w:rPr>
        <w:t>крипто</w:t>
      </w:r>
      <w:r w:rsidR="00503DB1" w:rsidRPr="00192D8F">
        <w:rPr>
          <w:rFonts w:ascii="Times New Roman" w:hAnsi="Times New Roman"/>
          <w:bCs/>
          <w:color w:val="000000" w:themeColor="text1"/>
          <w:sz w:val="24"/>
          <w:szCs w:val="24"/>
        </w:rPr>
        <w:t>экономики не</w:t>
      </w:r>
      <w:r w:rsidR="00D62D00" w:rsidRPr="00192D8F">
        <w:rPr>
          <w:rFonts w:ascii="Times New Roman" w:hAnsi="Times New Roman"/>
          <w:bCs/>
          <w:color w:val="000000" w:themeColor="text1"/>
          <w:sz w:val="24"/>
          <w:szCs w:val="24"/>
        </w:rPr>
        <w:t xml:space="preserve"> только в России, но и в целом </w:t>
      </w:r>
      <w:r w:rsidR="00485173" w:rsidRPr="00192D8F">
        <w:rPr>
          <w:rFonts w:ascii="Times New Roman" w:hAnsi="Times New Roman"/>
          <w:bCs/>
          <w:color w:val="000000" w:themeColor="text1"/>
          <w:sz w:val="24"/>
          <w:szCs w:val="24"/>
        </w:rPr>
        <w:t>на пространстве ЕАЭС.</w:t>
      </w:r>
    </w:p>
    <w:p w:rsidR="00592EB6" w:rsidRPr="00192D8F" w:rsidRDefault="00592EB6"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6. </w:t>
      </w:r>
      <w:r w:rsidR="005A6BE8" w:rsidRPr="00192D8F">
        <w:rPr>
          <w:rFonts w:ascii="Times New Roman" w:hAnsi="Times New Roman"/>
          <w:bCs/>
          <w:color w:val="000000" w:themeColor="text1"/>
          <w:sz w:val="24"/>
          <w:szCs w:val="24"/>
        </w:rPr>
        <w:t>Стимулировать развитие малого и среднего предпринимательства за счет комфортных условий налогообложения при проведении «народных инвестиций» (краудфандинга).</w:t>
      </w:r>
    </w:p>
    <w:p w:rsidR="00592EB6"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Относительно возможных налоговых потерь бюджета следует отметить, что в настоящее время достоверно определить величину таких потерь представляется весьма затруднительным именно в силу специфики такой сущности как криптоактивы. </w:t>
      </w:r>
    </w:p>
    <w:p w:rsidR="00592EB6"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Таким образом, Комиссия видит свою задачу в систематизировании текущих проблем, а также в предложении законодательных изменений по обороту цифровых прав, оставляя широту изменений на усмотрение законодателя. </w:t>
      </w:r>
    </w:p>
    <w:p w:rsidR="00CB13BF" w:rsidRPr="00192D8F" w:rsidRDefault="00CB13BF" w:rsidP="00192D8F">
      <w:pPr>
        <w:shd w:val="clear" w:color="auto" w:fill="FFFFFF"/>
        <w:spacing w:after="0" w:line="360" w:lineRule="auto"/>
        <w:ind w:firstLine="709"/>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Следуя канону юридической техники, обратимся к анализу международного опыта.</w:t>
      </w:r>
    </w:p>
    <w:p w:rsidR="00592EB6" w:rsidRPr="00192D8F" w:rsidRDefault="00592EB6" w:rsidP="00192D8F">
      <w:pPr>
        <w:spacing w:before="240" w:after="240" w:line="360" w:lineRule="auto"/>
        <w:ind w:firstLine="709"/>
        <w:jc w:val="center"/>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1. ПОДХОДЫ К НАЛОГООБЛОЖЕНИЮ КРИПТОВАЛЮТ В ОТДЕЛЬНЫХ ЮРИСДИКЦИЯХ</w:t>
      </w:r>
    </w:p>
    <w:p w:rsidR="006C79CC"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Как и в России, большинство разъяснений фискальных органов относятся к вопросам налогообложения криптоактивов в отношении физических лиц. В отдельных странах существуют разъяснения относительно НДС, а также в отношении отдельных операций с криптовалютами (деятельность бирж, обменников, майнинг и </w:t>
      </w:r>
      <w:r w:rsidR="00503DB1" w:rsidRPr="00192D8F">
        <w:rPr>
          <w:rFonts w:ascii="Times New Roman" w:hAnsi="Times New Roman"/>
          <w:bCs/>
          <w:color w:val="000000" w:themeColor="text1"/>
          <w:sz w:val="24"/>
          <w:szCs w:val="24"/>
        </w:rPr>
        <w:t>т.п.</w:t>
      </w:r>
      <w:r w:rsidRPr="00192D8F">
        <w:rPr>
          <w:rFonts w:ascii="Times New Roman" w:hAnsi="Times New Roman"/>
          <w:bCs/>
          <w:color w:val="000000" w:themeColor="text1"/>
          <w:sz w:val="24"/>
          <w:szCs w:val="24"/>
        </w:rPr>
        <w:t xml:space="preserve">). </w:t>
      </w:r>
    </w:p>
    <w:p w:rsidR="00D7004D" w:rsidRPr="00192D8F" w:rsidRDefault="00D7004D" w:rsidP="00192D8F">
      <w:pPr>
        <w:spacing w:after="0" w:line="360" w:lineRule="auto"/>
        <w:ind w:firstLine="709"/>
        <w:jc w:val="both"/>
        <w:rPr>
          <w:rFonts w:ascii="Times New Roman" w:hAnsi="Times New Roman"/>
          <w:bCs/>
          <w:color w:val="000000" w:themeColor="text1"/>
          <w:sz w:val="24"/>
          <w:szCs w:val="24"/>
        </w:rPr>
      </w:pP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
          <w:bCs/>
          <w:color w:val="000000" w:themeColor="text1"/>
          <w:sz w:val="24"/>
          <w:szCs w:val="24"/>
          <w:u w:val="single"/>
        </w:rPr>
        <w:t>США</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Вопросы </w:t>
      </w:r>
      <w:r w:rsidR="009B0899" w:rsidRPr="00192D8F">
        <w:rPr>
          <w:rFonts w:ascii="Times New Roman" w:hAnsi="Times New Roman"/>
          <w:bCs/>
          <w:color w:val="000000" w:themeColor="text1"/>
          <w:sz w:val="24"/>
          <w:szCs w:val="24"/>
        </w:rPr>
        <w:t>налогообложения</w:t>
      </w:r>
      <w:r w:rsidRPr="00192D8F">
        <w:rPr>
          <w:rFonts w:ascii="Times New Roman" w:hAnsi="Times New Roman"/>
          <w:bCs/>
          <w:color w:val="000000" w:themeColor="text1"/>
          <w:sz w:val="24"/>
          <w:szCs w:val="24"/>
        </w:rPr>
        <w:t xml:space="preserve"> криптовалют освещены в уведомлении Службы внутренних доходов США № 2014-21</w:t>
      </w:r>
      <w:r w:rsidRPr="00192D8F">
        <w:rPr>
          <w:rFonts w:ascii="Times New Roman" w:hAnsi="Times New Roman"/>
          <w:bCs/>
          <w:color w:val="000000" w:themeColor="text1"/>
          <w:sz w:val="24"/>
          <w:szCs w:val="24"/>
          <w:vertAlign w:val="superscript"/>
        </w:rPr>
        <w:footnoteReference w:id="3"/>
      </w:r>
      <w:r w:rsidRPr="00192D8F">
        <w:rPr>
          <w:rFonts w:ascii="Times New Roman" w:hAnsi="Times New Roman"/>
          <w:bCs/>
          <w:color w:val="000000" w:themeColor="text1"/>
          <w:sz w:val="24"/>
          <w:szCs w:val="24"/>
        </w:rPr>
        <w:t xml:space="preserve">, которая рассматривает криптоактивы как «имущество», а не как иностранную валюту. Таким образом, доходы и расходы предписано определять по общим правилам налогообложения при выбытии криптовалют в обмен на деньги или иное имущество.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 учетом обособления имущественных прав в налоговом праве РФ опыт США по приравниванию криптовалют к имуществу следует признать нерелевантным для нашей страны. </w:t>
      </w:r>
    </w:p>
    <w:p w:rsidR="00D7004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Однако отдельного внимания заслуживает активность Налоговой службы США (IRS) в налоговом администрировании доходов от криптовалют. IRS начала рассылать</w:t>
      </w:r>
      <w:r w:rsidRPr="00192D8F">
        <w:rPr>
          <w:rFonts w:ascii="Times New Roman" w:hAnsi="Times New Roman"/>
          <w:bCs/>
          <w:color w:val="000000" w:themeColor="text1"/>
          <w:sz w:val="24"/>
          <w:szCs w:val="24"/>
          <w:vertAlign w:val="superscript"/>
        </w:rPr>
        <w:footnoteReference w:id="4"/>
      </w:r>
      <w:r w:rsidRPr="00192D8F">
        <w:rPr>
          <w:rFonts w:ascii="Times New Roman" w:hAnsi="Times New Roman"/>
          <w:bCs/>
          <w:color w:val="000000" w:themeColor="text1"/>
          <w:sz w:val="24"/>
          <w:szCs w:val="24"/>
        </w:rPr>
        <w:t xml:space="preserve"> владельцам криптовалют письменные предупреждения, которые получат примерно 10 тысяч человек. Одним из возможных источников, предоставивших IRS данные о </w:t>
      </w:r>
      <w:r w:rsidRPr="00192D8F">
        <w:rPr>
          <w:rFonts w:ascii="Times New Roman" w:hAnsi="Times New Roman"/>
          <w:bCs/>
          <w:color w:val="000000" w:themeColor="text1"/>
          <w:sz w:val="24"/>
          <w:szCs w:val="24"/>
        </w:rPr>
        <w:lastRenderedPageBreak/>
        <w:t>держателях криптовалют, может быть биржа Coinbase — в марте 2018 года она по решению федерального суда передала налоговой службе информацию о примерно 13 тыс. учетных записей. При этом речь шла о клиентах, которые купили, продали, отправили или получили криптовалюту на сумму $20 тыс. или больше в 2013–2015 годах. IRS получила их имена, даты рождения и адреса, идентификационный номер налогоплательщика, выписки со счета и имена контрагентов.</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p>
    <w:p w:rsidR="00592EB6" w:rsidRPr="00192D8F" w:rsidRDefault="006C79CC" w:rsidP="00192D8F">
      <w:pPr>
        <w:spacing w:after="0" w:line="360" w:lineRule="auto"/>
        <w:ind w:firstLine="709"/>
        <w:jc w:val="both"/>
        <w:rPr>
          <w:rFonts w:ascii="Times New Roman" w:hAnsi="Times New Roman"/>
          <w:b/>
          <w:bCs/>
          <w:color w:val="000000" w:themeColor="text1"/>
          <w:sz w:val="24"/>
          <w:szCs w:val="24"/>
          <w:u w:val="single"/>
        </w:rPr>
      </w:pPr>
      <w:r w:rsidRPr="00192D8F">
        <w:rPr>
          <w:rFonts w:ascii="Times New Roman" w:hAnsi="Times New Roman"/>
          <w:b/>
          <w:bCs/>
          <w:color w:val="000000" w:themeColor="text1"/>
          <w:sz w:val="24"/>
          <w:szCs w:val="24"/>
          <w:u w:val="single"/>
        </w:rPr>
        <w:t xml:space="preserve">Великобритания </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Налоговая служба Великобритании</w:t>
      </w:r>
      <w:r w:rsidRPr="00192D8F">
        <w:rPr>
          <w:rFonts w:ascii="Times New Roman" w:hAnsi="Times New Roman"/>
          <w:bCs/>
          <w:color w:val="000000" w:themeColor="text1"/>
          <w:sz w:val="24"/>
          <w:szCs w:val="24"/>
          <w:vertAlign w:val="superscript"/>
        </w:rPr>
        <w:footnoteReference w:id="5"/>
      </w:r>
      <w:r w:rsidRPr="00192D8F">
        <w:rPr>
          <w:rFonts w:ascii="Times New Roman" w:hAnsi="Times New Roman"/>
          <w:bCs/>
          <w:color w:val="000000" w:themeColor="text1"/>
          <w:sz w:val="24"/>
          <w:szCs w:val="24"/>
        </w:rPr>
        <w:t xml:space="preserve"> (Управление по доходам и таможне Ее Величества, HRMC) не рассматривает криптоактивы в качестве валюты или денежных средств. </w:t>
      </w:r>
      <w:r w:rsidR="00485173" w:rsidRPr="00192D8F">
        <w:rPr>
          <w:rFonts w:ascii="Times New Roman" w:hAnsi="Times New Roman"/>
          <w:bCs/>
          <w:color w:val="000000" w:themeColor="text1"/>
          <w:sz w:val="24"/>
          <w:szCs w:val="24"/>
        </w:rPr>
        <w:t>HMRC понимает криптоактивы (или криптовалюту) как криптографически защищенное цифровое представление стоимости или договорных прав, которое может быть передано, храниться и торговаться в электронном виде.</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Доходы от отчуждения криптоактивов не освобождаются от налогообложения. Подоходным налогом и социальными взносами должны облагаться, в том числе, выплата заработной платы криптовалютой, а также доходы, полученные от майнинга или эйдропов. </w:t>
      </w:r>
    </w:p>
    <w:p w:rsidR="00D7004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Примечательно, что HRMC разрешает уменьшать доходы от майнинга на суммы соответствующих расходов. Аналогичная возможность в российском налоговом праве остается дискуссионной</w:t>
      </w:r>
      <w:r w:rsidR="008C5639" w:rsidRPr="00192D8F">
        <w:rPr>
          <w:rFonts w:ascii="Times New Roman" w:hAnsi="Times New Roman"/>
          <w:bCs/>
          <w:color w:val="000000" w:themeColor="text1"/>
          <w:sz w:val="24"/>
          <w:szCs w:val="24"/>
        </w:rPr>
        <w:t>, в том числе в свете требований ст. 252 НК РФ и особенностей налогового учета по НДФЛ.</w:t>
      </w:r>
    </w:p>
    <w:p w:rsidR="00A850E8" w:rsidRPr="00192D8F" w:rsidRDefault="00A850E8" w:rsidP="00192D8F">
      <w:pPr>
        <w:spacing w:after="0" w:line="360" w:lineRule="auto"/>
        <w:ind w:firstLine="709"/>
        <w:jc w:val="both"/>
        <w:rPr>
          <w:rFonts w:ascii="Times New Roman" w:hAnsi="Times New Roman"/>
          <w:bCs/>
          <w:color w:val="000000" w:themeColor="text1"/>
          <w:sz w:val="24"/>
          <w:szCs w:val="24"/>
        </w:rPr>
      </w:pPr>
    </w:p>
    <w:p w:rsidR="006C79CC" w:rsidRPr="00192D8F" w:rsidRDefault="006C79CC" w:rsidP="00192D8F">
      <w:pPr>
        <w:spacing w:after="0" w:line="360" w:lineRule="auto"/>
        <w:ind w:firstLine="709"/>
        <w:jc w:val="both"/>
        <w:rPr>
          <w:rFonts w:ascii="Times New Roman" w:hAnsi="Times New Roman"/>
          <w:b/>
          <w:bCs/>
          <w:color w:val="000000" w:themeColor="text1"/>
          <w:sz w:val="24"/>
          <w:szCs w:val="24"/>
          <w:u w:val="single"/>
        </w:rPr>
      </w:pPr>
      <w:r w:rsidRPr="00192D8F">
        <w:rPr>
          <w:rFonts w:ascii="Times New Roman" w:hAnsi="Times New Roman"/>
          <w:b/>
          <w:bCs/>
          <w:color w:val="000000" w:themeColor="text1"/>
          <w:sz w:val="24"/>
          <w:szCs w:val="24"/>
          <w:u w:val="single"/>
        </w:rPr>
        <w:t>Иные юрисдикции</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Германию следует признать одним из мировых лидеров в вопросах НДС в криптовалютной сфере.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Федеральное Министерство Финансов в Письме от 27.02.2018, следуя правовой логике, изложенной в решении Европейского суда от 22.10.2015 по делу Хедквиста, освободило от НДС большинство операций с криптовалютами. Деятельность майнеров также освобождена от НДС. </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Для целей подоходного налога физических лиц существует необлагаемый порог в 600 евро, а также освобождение для доходов, полученных от отчуждения криптовалют при владении ими более года.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Однако не все европейские страны придерживаются либеральных взглядов. Например, в конце 2018 года Парламент Франции</w:t>
      </w:r>
      <w:r w:rsidRPr="00192D8F">
        <w:rPr>
          <w:rFonts w:ascii="Times New Roman" w:hAnsi="Times New Roman"/>
          <w:bCs/>
          <w:color w:val="000000" w:themeColor="text1"/>
          <w:sz w:val="24"/>
          <w:szCs w:val="24"/>
          <w:vertAlign w:val="superscript"/>
        </w:rPr>
        <w:footnoteReference w:id="6"/>
      </w:r>
      <w:r w:rsidRPr="00192D8F">
        <w:rPr>
          <w:rFonts w:ascii="Times New Roman" w:hAnsi="Times New Roman"/>
          <w:bCs/>
          <w:color w:val="000000" w:themeColor="text1"/>
          <w:sz w:val="24"/>
          <w:szCs w:val="24"/>
        </w:rPr>
        <w:t xml:space="preserve"> отклонил ряд налоговых преференций для держателей криптоактивов.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Позитивные тенденции наблюдаются в Азии. Так с 01.01.2020 года власти Сингапура</w:t>
      </w:r>
      <w:r w:rsidRPr="00192D8F">
        <w:rPr>
          <w:rFonts w:ascii="Times New Roman" w:hAnsi="Times New Roman"/>
          <w:bCs/>
          <w:color w:val="000000" w:themeColor="text1"/>
          <w:sz w:val="24"/>
          <w:szCs w:val="24"/>
          <w:vertAlign w:val="superscript"/>
        </w:rPr>
        <w:footnoteReference w:id="7"/>
      </w:r>
      <w:r w:rsidRPr="00192D8F">
        <w:rPr>
          <w:rFonts w:ascii="Times New Roman" w:hAnsi="Times New Roman"/>
          <w:bCs/>
          <w:color w:val="000000" w:themeColor="text1"/>
          <w:sz w:val="24"/>
          <w:szCs w:val="24"/>
        </w:rPr>
        <w:t xml:space="preserve"> планируют освободить от НДС ряд операций с криптовалютами. Уже сегодня при долгосрочном владении криптовалютами, доходы от их отчуждения освобождаются от налога на доходы.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По аналогичному пути пошли ряд стран постсоветского пространства. Например, Беларусь, полностью освободившая</w:t>
      </w:r>
      <w:r w:rsidR="00186FF8" w:rsidRPr="00192D8F">
        <w:rPr>
          <w:rFonts w:ascii="Times New Roman" w:hAnsi="Times New Roman"/>
          <w:bCs/>
          <w:color w:val="000000" w:themeColor="text1"/>
          <w:sz w:val="24"/>
          <w:szCs w:val="24"/>
        </w:rPr>
        <w:t xml:space="preserve"> до 2023 </w:t>
      </w:r>
      <w:r w:rsidR="00503DB1" w:rsidRPr="00192D8F">
        <w:rPr>
          <w:rFonts w:ascii="Times New Roman" w:hAnsi="Times New Roman"/>
          <w:bCs/>
          <w:color w:val="000000" w:themeColor="text1"/>
          <w:sz w:val="24"/>
          <w:szCs w:val="24"/>
        </w:rPr>
        <w:t>года от</w:t>
      </w:r>
      <w:r w:rsidRPr="00192D8F">
        <w:rPr>
          <w:rFonts w:ascii="Times New Roman" w:hAnsi="Times New Roman"/>
          <w:bCs/>
          <w:color w:val="000000" w:themeColor="text1"/>
          <w:sz w:val="24"/>
          <w:szCs w:val="24"/>
        </w:rPr>
        <w:t xml:space="preserve"> НДС, налога на прибыль и подоходного налога </w:t>
      </w:r>
      <w:r w:rsidR="00B022E8" w:rsidRPr="00192D8F">
        <w:rPr>
          <w:rFonts w:ascii="Times New Roman" w:hAnsi="Times New Roman"/>
          <w:bCs/>
          <w:color w:val="000000" w:themeColor="text1"/>
          <w:sz w:val="24"/>
          <w:szCs w:val="24"/>
        </w:rPr>
        <w:t>участников отношений, связанных с применением современных технологий</w:t>
      </w:r>
      <w:r w:rsidRPr="00192D8F">
        <w:rPr>
          <w:rFonts w:ascii="Times New Roman" w:hAnsi="Times New Roman"/>
          <w:bCs/>
          <w:color w:val="000000" w:themeColor="text1"/>
          <w:sz w:val="24"/>
          <w:szCs w:val="24"/>
          <w:vertAlign w:val="superscript"/>
        </w:rPr>
        <w:footnoteReference w:id="8"/>
      </w:r>
      <w:r w:rsidRPr="00192D8F">
        <w:rPr>
          <w:rFonts w:ascii="Times New Roman" w:hAnsi="Times New Roman"/>
          <w:bCs/>
          <w:color w:val="000000" w:themeColor="text1"/>
          <w:sz w:val="24"/>
          <w:szCs w:val="24"/>
        </w:rPr>
        <w:t xml:space="preserve">. </w:t>
      </w:r>
      <w:r w:rsidR="00B022E8" w:rsidRPr="00192D8F">
        <w:rPr>
          <w:rFonts w:ascii="Times New Roman" w:hAnsi="Times New Roman"/>
          <w:bCs/>
          <w:color w:val="000000" w:themeColor="text1"/>
          <w:sz w:val="24"/>
          <w:szCs w:val="24"/>
        </w:rPr>
        <w:t xml:space="preserve">Примечательно, что для целей налогообложения в Беларуси отчуждение токенов приравнено к реализации имущественных прав. </w:t>
      </w:r>
      <w:r w:rsidRPr="00192D8F">
        <w:rPr>
          <w:rFonts w:ascii="Times New Roman" w:hAnsi="Times New Roman"/>
          <w:bCs/>
          <w:color w:val="000000" w:themeColor="text1"/>
          <w:sz w:val="24"/>
          <w:szCs w:val="24"/>
        </w:rPr>
        <w:t>Грузия освободила от налогообложения НДС обмен криптоактивов на национальную или иностранную валюту и услуги майнинга (при определенных условиях), а доход, полученный физическим лицом от обмена криптоактивов – от подоходного налога</w:t>
      </w:r>
      <w:r w:rsidRPr="00192D8F">
        <w:rPr>
          <w:rFonts w:ascii="Times New Roman" w:hAnsi="Times New Roman"/>
          <w:bCs/>
          <w:color w:val="000000" w:themeColor="text1"/>
          <w:sz w:val="24"/>
          <w:szCs w:val="24"/>
          <w:vertAlign w:val="superscript"/>
        </w:rPr>
        <w:footnoteReference w:id="9"/>
      </w:r>
      <w:r w:rsidRPr="00192D8F">
        <w:rPr>
          <w:rFonts w:ascii="Times New Roman" w:hAnsi="Times New Roman"/>
          <w:bCs/>
          <w:color w:val="000000" w:themeColor="text1"/>
          <w:sz w:val="24"/>
          <w:szCs w:val="24"/>
        </w:rPr>
        <w:t>. Отдельно стоит обратить внимание на крайне либеральную по отношению к криптовалютам позицию властей Узбекистана</w:t>
      </w:r>
      <w:r w:rsidRPr="00192D8F">
        <w:rPr>
          <w:rFonts w:ascii="Times New Roman" w:hAnsi="Times New Roman"/>
          <w:bCs/>
          <w:color w:val="000000" w:themeColor="text1"/>
          <w:sz w:val="24"/>
          <w:szCs w:val="24"/>
          <w:vertAlign w:val="superscript"/>
        </w:rPr>
        <w:footnoteReference w:id="10"/>
      </w:r>
      <w:r w:rsidRPr="00192D8F">
        <w:rPr>
          <w:rFonts w:ascii="Times New Roman" w:hAnsi="Times New Roman"/>
          <w:bCs/>
          <w:color w:val="000000" w:themeColor="text1"/>
          <w:sz w:val="24"/>
          <w:szCs w:val="24"/>
        </w:rPr>
        <w:t xml:space="preserve">, которые в целом освободили от любых налогов оборот криптовалют.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На фоне остальных отдельно следует выделить подход </w:t>
      </w:r>
      <w:r w:rsidR="003C5023" w:rsidRPr="00192D8F">
        <w:rPr>
          <w:rFonts w:ascii="Times New Roman" w:hAnsi="Times New Roman"/>
          <w:bCs/>
          <w:color w:val="000000" w:themeColor="text1"/>
          <w:sz w:val="24"/>
          <w:szCs w:val="24"/>
        </w:rPr>
        <w:t>А</w:t>
      </w:r>
      <w:r w:rsidRPr="00192D8F">
        <w:rPr>
          <w:rFonts w:ascii="Times New Roman" w:hAnsi="Times New Roman"/>
          <w:bCs/>
          <w:color w:val="000000" w:themeColor="text1"/>
          <w:sz w:val="24"/>
          <w:szCs w:val="24"/>
        </w:rPr>
        <w:t>встралийских налоговиков, которые публикуют детальные рекомендации по налогообложению криптовалют. В частности, в отличие от большинства своих коллег, фискалы «зеленого континента» высказываются и относительно документального оформления операций, а также кросс-курса</w:t>
      </w:r>
      <w:r w:rsidRPr="00192D8F">
        <w:rPr>
          <w:rFonts w:ascii="Times New Roman" w:hAnsi="Times New Roman"/>
          <w:bCs/>
          <w:color w:val="000000" w:themeColor="text1"/>
          <w:sz w:val="24"/>
          <w:szCs w:val="24"/>
          <w:vertAlign w:val="superscript"/>
        </w:rPr>
        <w:footnoteReference w:id="11"/>
      </w:r>
      <w:r w:rsidRPr="00192D8F">
        <w:rPr>
          <w:rFonts w:ascii="Times New Roman" w:hAnsi="Times New Roman"/>
          <w:bCs/>
          <w:color w:val="000000" w:themeColor="text1"/>
          <w:sz w:val="24"/>
          <w:szCs w:val="24"/>
        </w:rPr>
        <w:t>.</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целом налоговые правила разных стран постепенно </w:t>
      </w:r>
      <w:r w:rsidR="003C5023" w:rsidRPr="00192D8F">
        <w:rPr>
          <w:rFonts w:ascii="Times New Roman" w:hAnsi="Times New Roman"/>
          <w:bCs/>
          <w:color w:val="000000" w:themeColor="text1"/>
          <w:sz w:val="24"/>
          <w:szCs w:val="24"/>
        </w:rPr>
        <w:t>«</w:t>
      </w:r>
      <w:r w:rsidRPr="00192D8F">
        <w:rPr>
          <w:rFonts w:ascii="Times New Roman" w:hAnsi="Times New Roman"/>
          <w:bCs/>
          <w:color w:val="000000" w:themeColor="text1"/>
          <w:sz w:val="24"/>
          <w:szCs w:val="24"/>
        </w:rPr>
        <w:t>переваривают</w:t>
      </w:r>
      <w:r w:rsidR="003C5023" w:rsidRPr="00192D8F">
        <w:rPr>
          <w:rFonts w:ascii="Times New Roman" w:hAnsi="Times New Roman"/>
          <w:bCs/>
          <w:color w:val="000000" w:themeColor="text1"/>
          <w:sz w:val="24"/>
          <w:szCs w:val="24"/>
        </w:rPr>
        <w:t>»</w:t>
      </w:r>
      <w:r w:rsidRPr="00192D8F">
        <w:rPr>
          <w:rFonts w:ascii="Times New Roman" w:hAnsi="Times New Roman"/>
          <w:bCs/>
          <w:color w:val="000000" w:themeColor="text1"/>
          <w:sz w:val="24"/>
          <w:szCs w:val="24"/>
        </w:rPr>
        <w:t xml:space="preserve"> специфику криптовалюты, активнее - в части непосредственно налогообложения, медленнее - в налоговом администрировании. Тем не менее, и в этом вопросе наметился некоторый прогресс на как на локальном, так на глобальном уровне. </w:t>
      </w:r>
    </w:p>
    <w:p w:rsidR="006C79CC"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Это происходит как путем внесения изменения непосредственно в налоговое законодательство, так и путем толкования регуляторами существующих налоговых правил.</w:t>
      </w:r>
      <w:r w:rsidR="00503DB1">
        <w:rPr>
          <w:rFonts w:ascii="Times New Roman" w:hAnsi="Times New Roman"/>
          <w:bCs/>
          <w:color w:val="000000" w:themeColor="text1"/>
          <w:sz w:val="24"/>
          <w:szCs w:val="24"/>
        </w:rPr>
        <w:t xml:space="preserve"> </w:t>
      </w:r>
      <w:r w:rsidRPr="00192D8F">
        <w:rPr>
          <w:rFonts w:ascii="Times New Roman" w:hAnsi="Times New Roman"/>
          <w:bCs/>
          <w:color w:val="000000" w:themeColor="text1"/>
          <w:sz w:val="24"/>
          <w:szCs w:val="24"/>
        </w:rPr>
        <w:t xml:space="preserve">В основном налоговые правила, как было указано выше, определяются для </w:t>
      </w:r>
      <w:r w:rsidRPr="00192D8F">
        <w:rPr>
          <w:rFonts w:ascii="Times New Roman" w:hAnsi="Times New Roman"/>
          <w:bCs/>
          <w:color w:val="000000" w:themeColor="text1"/>
          <w:sz w:val="24"/>
          <w:szCs w:val="24"/>
        </w:rPr>
        <w:lastRenderedPageBreak/>
        <w:t xml:space="preserve">налогов на доходы физических лиц и НДС. Чаще всего на операции с криптовалютой распространяются существующие правила налогообложения, ранее установленные для других активов. </w:t>
      </w:r>
    </w:p>
    <w:p w:rsidR="006C79CC"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Следует отметить, что развитие режима налогообложения криптовалюты в мире происходит на основании развития национальных подходов, не основываясь на формальных единых принципах. При этом формируются как схожие позиции, так и различные подходы, что можно объяснить сходством и различием национальных правовых и налоговых систем и налоговых политик отдельных стран. </w:t>
      </w:r>
    </w:p>
    <w:p w:rsidR="00592EB6"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Среди факторов, влияющих на формирование налоговой политики относительно операций с криптовалютой, можно выделить: стремление обеспечить ее инвестиционную привлекательность, устранить неясности для налогоплательщиков, наличие регуляторных ограничений или неопределенностей, существующих в неналоговой сфере. </w:t>
      </w:r>
    </w:p>
    <w:p w:rsidR="006C79CC" w:rsidRPr="00192D8F" w:rsidRDefault="006C79CC" w:rsidP="00192D8F">
      <w:pPr>
        <w:shd w:val="clear" w:color="auto" w:fill="FFFFFF"/>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Различия в национальных налоговых правилах объективно приводят для трансграничных операций к стандартными сценариям, возникающим при международном налогообложении, включая двойное налогообложение, признание постоянных представительств, иных видов налогового присутствия в других странах. В ряде случаев у налогоплательщиков создается основа для двойного неналогообложения, иногда налогоплательщики могут искусственно создавать такие ситуации. Фактически сформированная на настоящий момент межгосударственная позиция крупных стран относительно необходимости борьбы с международным уклонением от уплаты налогов и необходимости межгосударственного сотрудничества в этом процессе, применима и к случаям использования криптовалют для налогового уклонения, повышая тем самым риски налогоплательщиков, налогово-агрессивно использующих операции с криптовалютами.</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Обратимся к конкретным примерам в налоговом администрировании криптовалют, как на локальном, так и на глобальном уровне.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Например, Налоговая служба Токио (Япония) ведет расследования в отношении 50 физических и 30 юридических лиц, которые по предварительным оценкам не задекларировали доходы от криптопераций на сумму около 93 миллионов долларов США</w:t>
      </w:r>
      <w:r w:rsidRPr="00192D8F">
        <w:rPr>
          <w:rFonts w:ascii="Times New Roman" w:hAnsi="Times New Roman"/>
          <w:bCs/>
          <w:color w:val="000000" w:themeColor="text1"/>
          <w:sz w:val="24"/>
          <w:szCs w:val="24"/>
          <w:vertAlign w:val="superscript"/>
        </w:rPr>
        <w:footnoteReference w:id="12"/>
      </w:r>
      <w:r w:rsidRPr="00192D8F">
        <w:rPr>
          <w:rFonts w:ascii="Times New Roman" w:hAnsi="Times New Roman"/>
          <w:bCs/>
          <w:color w:val="000000" w:themeColor="text1"/>
          <w:sz w:val="24"/>
          <w:szCs w:val="24"/>
        </w:rPr>
        <w:t>.На международной арене сформировалась группа J5</w:t>
      </w:r>
      <w:r w:rsidRPr="00192D8F">
        <w:rPr>
          <w:rFonts w:ascii="Times New Roman" w:hAnsi="Times New Roman"/>
          <w:bCs/>
          <w:color w:val="000000" w:themeColor="text1"/>
          <w:sz w:val="24"/>
          <w:szCs w:val="24"/>
          <w:vertAlign w:val="superscript"/>
        </w:rPr>
        <w:footnoteReference w:id="13"/>
      </w:r>
      <w:r w:rsidRPr="00192D8F">
        <w:rPr>
          <w:rFonts w:ascii="Times New Roman" w:hAnsi="Times New Roman"/>
          <w:bCs/>
          <w:color w:val="000000" w:themeColor="text1"/>
          <w:sz w:val="24"/>
          <w:szCs w:val="24"/>
        </w:rPr>
        <w:t xml:space="preserve"> (состоящая из представителей налоговых служб США, Австралии, Великобритании, Нидерландов и Канады), которая приступила к расследованию 60 случаев уклонения от налогообложения с использованием криптовалют. </w:t>
      </w:r>
    </w:p>
    <w:p w:rsidR="00D7004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Таким образом, мы видим, что развитие налогообложения криптовалюты для многих стран - не хаотичный процесс, а часть активной налоговой политики, и Российская Федерация не является исключением.</w:t>
      </w:r>
    </w:p>
    <w:p w:rsidR="007C17CC" w:rsidRPr="00192D8F" w:rsidRDefault="007C17CC" w:rsidP="00192D8F">
      <w:pPr>
        <w:spacing w:after="0" w:line="360" w:lineRule="auto"/>
        <w:ind w:firstLine="709"/>
        <w:jc w:val="both"/>
        <w:rPr>
          <w:rFonts w:ascii="Times New Roman" w:hAnsi="Times New Roman"/>
          <w:bCs/>
          <w:color w:val="000000" w:themeColor="text1"/>
          <w:sz w:val="24"/>
          <w:szCs w:val="24"/>
        </w:rPr>
      </w:pPr>
    </w:p>
    <w:p w:rsidR="007C17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
          <w:bCs/>
          <w:color w:val="000000" w:themeColor="text1"/>
          <w:sz w:val="24"/>
          <w:szCs w:val="24"/>
          <w:u w:val="single"/>
        </w:rPr>
        <w:t>Росси</w:t>
      </w:r>
      <w:r w:rsidR="003C5023" w:rsidRPr="00192D8F">
        <w:rPr>
          <w:rFonts w:ascii="Times New Roman" w:hAnsi="Times New Roman"/>
          <w:b/>
          <w:bCs/>
          <w:color w:val="000000" w:themeColor="text1"/>
          <w:sz w:val="24"/>
          <w:szCs w:val="24"/>
          <w:u w:val="single"/>
        </w:rPr>
        <w:t>йская Федерация</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Российский фискальные органы не остаются в стороне от проблем налогообложения криптовалют, и в целом демонстрируют взвешенный подход к проблематике с учетом действующего законодательства в РФ, которое, впрочем, как будет указано далее, нуждается в определенных доработках.</w:t>
      </w:r>
    </w:p>
    <w:p w:rsidR="00735D9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Еще в 2016 году ФНС России в Письме № ОА-18-17/1027 совершенно правомерно указывала, что запрета на проведение российскими гражданами и организациями операций с использованием криптовалюты законодательство Российской Федерации не содержит.</w:t>
      </w:r>
      <w:r w:rsidR="00735D9D" w:rsidRPr="00192D8F">
        <w:rPr>
          <w:rFonts w:ascii="Times New Roman" w:hAnsi="Times New Roman"/>
          <w:bCs/>
          <w:color w:val="000000" w:themeColor="text1"/>
          <w:sz w:val="24"/>
          <w:szCs w:val="24"/>
        </w:rPr>
        <w:t xml:space="preserve"> Однако в этом же письме ФНС </w:t>
      </w:r>
      <w:r w:rsidR="00B022E8" w:rsidRPr="00192D8F">
        <w:rPr>
          <w:rFonts w:ascii="Times New Roman" w:hAnsi="Times New Roman"/>
          <w:bCs/>
          <w:color w:val="000000" w:themeColor="text1"/>
          <w:sz w:val="24"/>
          <w:szCs w:val="24"/>
        </w:rPr>
        <w:t xml:space="preserve">России </w:t>
      </w:r>
      <w:r w:rsidR="00735D9D" w:rsidRPr="00192D8F">
        <w:rPr>
          <w:rFonts w:ascii="Times New Roman" w:hAnsi="Times New Roman"/>
          <w:bCs/>
          <w:color w:val="000000" w:themeColor="text1"/>
          <w:sz w:val="24"/>
          <w:szCs w:val="24"/>
        </w:rPr>
        <w:t>отметила, что операции, связанные с приобретением или реализацией криптовалют с использованием рублей или валютных ценностей, являются валютными операциями, порядок проведения которых установлен Федеральным Законом «О валютном регулировании и валютном контроле», и такие операции должны осуществляться через счета резидентов, открытые в уполномоченных банках. Этот тезис является спорным</w:t>
      </w:r>
      <w:r w:rsidR="00B022E8" w:rsidRPr="00192D8F">
        <w:rPr>
          <w:rFonts w:ascii="Times New Roman" w:hAnsi="Times New Roman"/>
          <w:bCs/>
          <w:color w:val="000000" w:themeColor="text1"/>
          <w:sz w:val="24"/>
          <w:szCs w:val="24"/>
        </w:rPr>
        <w:t xml:space="preserve">, т.к. </w:t>
      </w:r>
      <w:r w:rsidR="00735D9D" w:rsidRPr="00192D8F">
        <w:rPr>
          <w:rFonts w:ascii="Times New Roman" w:hAnsi="Times New Roman"/>
          <w:bCs/>
          <w:color w:val="000000" w:themeColor="text1"/>
          <w:sz w:val="24"/>
          <w:szCs w:val="24"/>
        </w:rPr>
        <w:t xml:space="preserve">криптоактивы не охватываются сферой применения валютного законодательства, которая </w:t>
      </w:r>
      <w:r w:rsidR="00B022E8" w:rsidRPr="00192D8F">
        <w:rPr>
          <w:rFonts w:ascii="Times New Roman" w:hAnsi="Times New Roman"/>
          <w:bCs/>
          <w:color w:val="000000" w:themeColor="text1"/>
          <w:sz w:val="24"/>
          <w:szCs w:val="24"/>
        </w:rPr>
        <w:t>определена Федеральным</w:t>
      </w:r>
      <w:r w:rsidR="00735D9D" w:rsidRPr="00192D8F">
        <w:rPr>
          <w:rFonts w:ascii="Times New Roman" w:hAnsi="Times New Roman"/>
          <w:bCs/>
          <w:color w:val="000000" w:themeColor="text1"/>
          <w:sz w:val="24"/>
          <w:szCs w:val="24"/>
        </w:rPr>
        <w:t xml:space="preserve"> законом «О валютном регулировании и валютном контроле», ввиду чего </w:t>
      </w:r>
      <w:r w:rsidR="00B022E8" w:rsidRPr="00192D8F">
        <w:rPr>
          <w:rFonts w:ascii="Times New Roman" w:hAnsi="Times New Roman"/>
          <w:bCs/>
          <w:color w:val="000000" w:themeColor="text1"/>
          <w:sz w:val="24"/>
          <w:szCs w:val="24"/>
        </w:rPr>
        <w:t>подобное расширительное</w:t>
      </w:r>
      <w:r w:rsidR="00735D9D" w:rsidRPr="00192D8F">
        <w:rPr>
          <w:rFonts w:ascii="Times New Roman" w:hAnsi="Times New Roman"/>
          <w:bCs/>
          <w:color w:val="000000" w:themeColor="text1"/>
          <w:sz w:val="24"/>
          <w:szCs w:val="24"/>
        </w:rPr>
        <w:t xml:space="preserve"> толкование </w:t>
      </w:r>
      <w:r w:rsidR="00B022E8" w:rsidRPr="00192D8F">
        <w:rPr>
          <w:rFonts w:ascii="Times New Roman" w:hAnsi="Times New Roman"/>
          <w:bCs/>
          <w:color w:val="000000" w:themeColor="text1"/>
          <w:sz w:val="24"/>
          <w:szCs w:val="24"/>
        </w:rPr>
        <w:t>является преждевременным</w:t>
      </w:r>
      <w:r w:rsidR="00735D9D" w:rsidRPr="00192D8F">
        <w:rPr>
          <w:rFonts w:ascii="Times New Roman" w:hAnsi="Times New Roman"/>
          <w:bCs/>
          <w:color w:val="000000" w:themeColor="text1"/>
          <w:sz w:val="24"/>
          <w:szCs w:val="24"/>
        </w:rPr>
        <w:t>.</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 прошлом году Минфин России в Письме от 17 мая 2018 № 03-04-07/33234 (доведенном до сведения нижестоящих налоговых органов Письмом ФНС России от 4 июня 2018 № БС-4-11/10685@) выразил свое мнение о налогообложении криптовалютных операций для физических лиц:</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6C79CC" w:rsidRPr="00192D8F">
        <w:rPr>
          <w:rFonts w:ascii="Times New Roman" w:hAnsi="Times New Roman"/>
          <w:bCs/>
          <w:color w:val="000000" w:themeColor="text1"/>
          <w:sz w:val="24"/>
          <w:szCs w:val="24"/>
        </w:rPr>
        <w:t>особый порядок налогообложения доходов физлиц при совершении операций с криптовалютами не установлен;</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6C79CC" w:rsidRPr="00192D8F">
        <w:rPr>
          <w:rFonts w:ascii="Times New Roman" w:hAnsi="Times New Roman"/>
          <w:bCs/>
          <w:color w:val="000000" w:themeColor="text1"/>
          <w:sz w:val="24"/>
          <w:szCs w:val="24"/>
        </w:rPr>
        <w:t>физические лица должны самостоятельно исчислить налог и подать декларацию в инспекцию;</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6C79CC" w:rsidRPr="00192D8F">
        <w:rPr>
          <w:rFonts w:ascii="Times New Roman" w:hAnsi="Times New Roman"/>
          <w:bCs/>
          <w:color w:val="000000" w:themeColor="text1"/>
          <w:sz w:val="24"/>
          <w:szCs w:val="24"/>
        </w:rPr>
        <w:t>налоговая база по операциям купли-продажи криптовалют определяется в рублях как превышение общей суммы доходов от продажи криптовалюты над общей суммой документально подтвержденных расходов на ее приобретение;</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 xml:space="preserve">- </w:t>
      </w:r>
      <w:r w:rsidR="006C79CC" w:rsidRPr="00192D8F">
        <w:rPr>
          <w:rFonts w:ascii="Times New Roman" w:hAnsi="Times New Roman"/>
          <w:bCs/>
          <w:color w:val="000000" w:themeColor="text1"/>
          <w:sz w:val="24"/>
          <w:szCs w:val="24"/>
        </w:rPr>
        <w:t>до законодательного урегулирования вопросов, связанных с обращением и налогообложением криптовалют, при определении налоговой базы необходимо исходить из нормы абзаца первого подпункта 2 пункта 2 статьи 220 НК РФ</w:t>
      </w:r>
      <w:r w:rsidR="006C79CC" w:rsidRPr="00192D8F">
        <w:rPr>
          <w:rFonts w:ascii="Times New Roman" w:hAnsi="Times New Roman"/>
          <w:bCs/>
          <w:color w:val="000000" w:themeColor="text1"/>
          <w:sz w:val="24"/>
          <w:szCs w:val="24"/>
          <w:vertAlign w:val="superscript"/>
        </w:rPr>
        <w:footnoteReference w:id="14"/>
      </w:r>
      <w:r w:rsidR="006C79CC" w:rsidRPr="00192D8F">
        <w:rPr>
          <w:rFonts w:ascii="Times New Roman" w:hAnsi="Times New Roman"/>
          <w:bCs/>
          <w:color w:val="000000" w:themeColor="text1"/>
          <w:sz w:val="24"/>
          <w:szCs w:val="24"/>
        </w:rPr>
        <w:t>.</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Вместе с тем в контексте п. 17.1 ст. 217 НК РФ Минфин России в Письме от 04.09.2018 № 03-04-05/63144 отказал гражданам в применении «льготы за давностью владения» («имущество в собственности более трех лет») в отношении криптовалют.</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Ряд разъяснений Минфина России касался корпоративного налогообложения (например, Письма от 28 августа 2018 г. № 03-03-06/1/61152 и от 16 августа 2018 г. № 03-03-06/1/58171)</w:t>
      </w:r>
      <w:r w:rsidR="003C5023" w:rsidRPr="00192D8F">
        <w:rPr>
          <w:rFonts w:ascii="Times New Roman" w:hAnsi="Times New Roman"/>
          <w:bCs/>
          <w:color w:val="000000" w:themeColor="text1"/>
          <w:sz w:val="24"/>
          <w:szCs w:val="24"/>
        </w:rPr>
        <w:t>.</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Как правомерно указывало финансовое ведомство согласно статье 247 НК РФ объектом налогообложения по налогу на прибыль организаций признается прибыль, полученная налогоплательщиком, определяемая для российских организаций в общем случае как разница между полученными доходами и произведенными расходами, квалифицируемыми в соответствии с положениями главы 25 НК РФ. Доходы в целях главы 25 НК РФ классифицируются как доходы от реализации товаров (работ, услуг) и имущественных прав (статья 249 НК РФ), и внереализационные доходы (статья 250 НК РФ) (пункт 1 статьи 248 НК РФ). Логика положений главы 25 НК РФ подразумевает налогообложение всех доходов, полученных налогоплательщиком при осуществлении деятельности, за исключением поименованных в статье 251 НК РФ.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При этом</w:t>
      </w:r>
      <w:r w:rsidR="003C5023" w:rsidRPr="00192D8F">
        <w:rPr>
          <w:rFonts w:ascii="Times New Roman" w:hAnsi="Times New Roman"/>
          <w:bCs/>
          <w:color w:val="000000" w:themeColor="text1"/>
          <w:sz w:val="24"/>
          <w:szCs w:val="24"/>
        </w:rPr>
        <w:t>,</w:t>
      </w:r>
      <w:r w:rsidRPr="00192D8F">
        <w:rPr>
          <w:rFonts w:ascii="Times New Roman" w:hAnsi="Times New Roman"/>
          <w:bCs/>
          <w:color w:val="000000" w:themeColor="text1"/>
          <w:sz w:val="24"/>
          <w:szCs w:val="24"/>
        </w:rPr>
        <w:t xml:space="preserve"> особый порядок налогообложения доходов при совершении операций с криптовалютой главой 25 НК РФ не установлен.</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Существуют и иные разъяснения </w:t>
      </w:r>
      <w:r w:rsidR="00C066C1" w:rsidRPr="00192D8F">
        <w:rPr>
          <w:rFonts w:ascii="Times New Roman" w:hAnsi="Times New Roman"/>
          <w:bCs/>
          <w:color w:val="000000" w:themeColor="text1"/>
          <w:sz w:val="24"/>
          <w:szCs w:val="24"/>
        </w:rPr>
        <w:t>российских фискальных органов</w:t>
      </w:r>
      <w:r w:rsidRPr="00192D8F">
        <w:rPr>
          <w:rFonts w:ascii="Times New Roman" w:hAnsi="Times New Roman"/>
          <w:bCs/>
          <w:color w:val="000000" w:themeColor="text1"/>
          <w:sz w:val="24"/>
          <w:szCs w:val="24"/>
        </w:rPr>
        <w:t xml:space="preserve">, суть которых в целом укладывается в вышеприведенный вектор. </w:t>
      </w:r>
    </w:p>
    <w:p w:rsidR="00D7004D"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Судебная практика относительно налогообложения криптовалют к</w:t>
      </w:r>
      <w:r w:rsidR="003C5023" w:rsidRPr="00192D8F">
        <w:rPr>
          <w:rFonts w:ascii="Times New Roman" w:hAnsi="Times New Roman"/>
          <w:bCs/>
          <w:color w:val="000000" w:themeColor="text1"/>
          <w:sz w:val="24"/>
          <w:szCs w:val="24"/>
        </w:rPr>
        <w:t xml:space="preserve"> моменту проведения </w:t>
      </w:r>
      <w:r w:rsidRPr="00192D8F">
        <w:rPr>
          <w:rFonts w:ascii="Times New Roman" w:hAnsi="Times New Roman"/>
          <w:bCs/>
          <w:color w:val="000000" w:themeColor="text1"/>
          <w:sz w:val="24"/>
          <w:szCs w:val="24"/>
        </w:rPr>
        <w:t>заседани</w:t>
      </w:r>
      <w:r w:rsidR="003C5023" w:rsidRPr="00192D8F">
        <w:rPr>
          <w:rFonts w:ascii="Times New Roman" w:hAnsi="Times New Roman"/>
          <w:bCs/>
          <w:color w:val="000000" w:themeColor="text1"/>
          <w:sz w:val="24"/>
          <w:szCs w:val="24"/>
        </w:rPr>
        <w:t>я</w:t>
      </w:r>
      <w:r w:rsidRPr="00192D8F">
        <w:rPr>
          <w:rFonts w:ascii="Times New Roman" w:hAnsi="Times New Roman"/>
          <w:bCs/>
          <w:color w:val="000000" w:themeColor="text1"/>
          <w:sz w:val="24"/>
          <w:szCs w:val="24"/>
        </w:rPr>
        <w:t xml:space="preserve"> Комиссии еще не сформировалась. </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p>
    <w:p w:rsidR="00592EB6" w:rsidRPr="00192D8F" w:rsidRDefault="006C79CC" w:rsidP="00192D8F">
      <w:pPr>
        <w:spacing w:after="0" w:line="360" w:lineRule="auto"/>
        <w:ind w:firstLine="708"/>
        <w:jc w:val="both"/>
        <w:rPr>
          <w:rFonts w:ascii="Times New Roman" w:hAnsi="Times New Roman"/>
          <w:b/>
          <w:bCs/>
          <w:color w:val="000000" w:themeColor="text1"/>
          <w:sz w:val="24"/>
          <w:szCs w:val="24"/>
          <w:u w:val="single"/>
        </w:rPr>
      </w:pPr>
      <w:r w:rsidRPr="00192D8F">
        <w:rPr>
          <w:rFonts w:ascii="Times New Roman" w:hAnsi="Times New Roman"/>
          <w:b/>
          <w:bCs/>
          <w:color w:val="000000" w:themeColor="text1"/>
          <w:sz w:val="24"/>
          <w:szCs w:val="24"/>
          <w:u w:val="single"/>
        </w:rPr>
        <w:t>Подходы ОЭСР и ФАТФ</w:t>
      </w:r>
    </w:p>
    <w:p w:rsidR="00592EB6" w:rsidRPr="00192D8F" w:rsidRDefault="00B022E8" w:rsidP="00192D8F">
      <w:pPr>
        <w:spacing w:after="0" w:line="360" w:lineRule="auto"/>
        <w:ind w:firstLine="708"/>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Необходимо отметить, что Организация Экономического Сотрудничества и Развития активно проявляет себя на ниве регулирования современных технологий, в том числе в рамках Плана BEPS</w:t>
      </w:r>
      <w:r w:rsidR="00886519" w:rsidRPr="00503DB1">
        <w:rPr>
          <w:bCs/>
          <w:color w:val="000000" w:themeColor="text1"/>
          <w:vertAlign w:val="superscript"/>
        </w:rPr>
        <w:footnoteReference w:id="15"/>
      </w:r>
      <w:r w:rsidRPr="00192D8F">
        <w:rPr>
          <w:rFonts w:ascii="Times New Roman" w:hAnsi="Times New Roman"/>
          <w:bCs/>
          <w:color w:val="000000" w:themeColor="text1"/>
          <w:sz w:val="24"/>
          <w:szCs w:val="24"/>
        </w:rPr>
        <w:t xml:space="preserve">, особенно </w:t>
      </w:r>
      <w:r w:rsidR="00886519" w:rsidRPr="00192D8F">
        <w:rPr>
          <w:rFonts w:ascii="Times New Roman" w:hAnsi="Times New Roman"/>
          <w:bCs/>
          <w:color w:val="000000" w:themeColor="text1"/>
          <w:sz w:val="24"/>
          <w:szCs w:val="24"/>
        </w:rPr>
        <w:t>в контексте</w:t>
      </w:r>
      <w:r w:rsidRPr="00192D8F">
        <w:rPr>
          <w:rFonts w:ascii="Times New Roman" w:hAnsi="Times New Roman"/>
          <w:bCs/>
          <w:color w:val="000000" w:themeColor="text1"/>
          <w:sz w:val="24"/>
          <w:szCs w:val="24"/>
        </w:rPr>
        <w:t xml:space="preserve"> Шага № 1. </w:t>
      </w:r>
    </w:p>
    <w:p w:rsidR="00592EB6" w:rsidRPr="00192D8F" w:rsidRDefault="00D62D00" w:rsidP="00192D8F">
      <w:pPr>
        <w:spacing w:after="0" w:line="360" w:lineRule="auto"/>
        <w:ind w:firstLine="708"/>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В настоящий момент в качестве налоговых вызовов цифровой экономики следует определить:</w:t>
      </w:r>
    </w:p>
    <w:p w:rsidR="00592EB6" w:rsidRPr="00192D8F" w:rsidRDefault="00592EB6" w:rsidP="00192D8F">
      <w:pPr>
        <w:spacing w:after="0" w:line="360" w:lineRule="auto"/>
        <w:ind w:firstLine="708"/>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D62D00" w:rsidRPr="00192D8F">
        <w:rPr>
          <w:rFonts w:ascii="Times New Roman" w:hAnsi="Times New Roman"/>
          <w:bCs/>
          <w:color w:val="000000" w:themeColor="text1"/>
          <w:sz w:val="24"/>
          <w:szCs w:val="24"/>
        </w:rPr>
        <w:t>возможность компаний одной страны, обладая существенным цифровым присутствием в экономике другой страны, не подлежать в ней налогообложению по причине отсутствия формальной связи с такой страной согласно существующим правилам;</w:t>
      </w:r>
    </w:p>
    <w:p w:rsidR="00592EB6" w:rsidRPr="00192D8F" w:rsidRDefault="00592EB6" w:rsidP="00192D8F">
      <w:pPr>
        <w:spacing w:after="0" w:line="360" w:lineRule="auto"/>
        <w:ind w:firstLine="708"/>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D62D00" w:rsidRPr="00192D8F">
        <w:rPr>
          <w:rFonts w:ascii="Times New Roman" w:hAnsi="Times New Roman"/>
          <w:bCs/>
          <w:color w:val="000000" w:themeColor="text1"/>
          <w:sz w:val="24"/>
          <w:szCs w:val="24"/>
        </w:rPr>
        <w:t>сложности квалификации доходов и создаваемой стоимости, возникающих в результате использования новых цифровых бизнес-моделей;</w:t>
      </w:r>
    </w:p>
    <w:p w:rsidR="00D62D00" w:rsidRPr="00192D8F" w:rsidRDefault="00592EB6" w:rsidP="00192D8F">
      <w:pPr>
        <w:spacing w:after="0" w:line="360" w:lineRule="auto"/>
        <w:ind w:firstLine="708"/>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D62D00" w:rsidRPr="00192D8F">
        <w:rPr>
          <w:rFonts w:ascii="Times New Roman" w:hAnsi="Times New Roman"/>
          <w:bCs/>
          <w:color w:val="000000" w:themeColor="text1"/>
          <w:sz w:val="24"/>
          <w:szCs w:val="24"/>
        </w:rPr>
        <w:t xml:space="preserve">обеспечение эффективного </w:t>
      </w:r>
      <w:r w:rsidR="00886519" w:rsidRPr="00192D8F">
        <w:rPr>
          <w:rFonts w:ascii="Times New Roman" w:hAnsi="Times New Roman"/>
          <w:bCs/>
          <w:color w:val="000000" w:themeColor="text1"/>
          <w:sz w:val="24"/>
          <w:szCs w:val="24"/>
        </w:rPr>
        <w:t>взимания НДС</w:t>
      </w:r>
      <w:r w:rsidR="00D62D00" w:rsidRPr="00192D8F">
        <w:rPr>
          <w:rFonts w:ascii="Times New Roman" w:hAnsi="Times New Roman"/>
          <w:bCs/>
          <w:color w:val="000000" w:themeColor="text1"/>
          <w:sz w:val="24"/>
          <w:szCs w:val="24"/>
        </w:rPr>
        <w:t xml:space="preserve"> в отношении трансграничных операций </w:t>
      </w:r>
      <w:r w:rsidR="003C5023" w:rsidRPr="00192D8F">
        <w:rPr>
          <w:rFonts w:ascii="Times New Roman" w:hAnsi="Times New Roman"/>
          <w:bCs/>
          <w:color w:val="000000" w:themeColor="text1"/>
          <w:sz w:val="24"/>
          <w:szCs w:val="24"/>
        </w:rPr>
        <w:t>с цифровыми</w:t>
      </w:r>
      <w:r w:rsidR="00D62D00" w:rsidRPr="00192D8F">
        <w:rPr>
          <w:rFonts w:ascii="Times New Roman" w:hAnsi="Times New Roman"/>
          <w:bCs/>
          <w:color w:val="000000" w:themeColor="text1"/>
          <w:sz w:val="24"/>
          <w:szCs w:val="24"/>
        </w:rPr>
        <w:t xml:space="preserve"> товарами и оказанием цифровых услуг.</w:t>
      </w:r>
    </w:p>
    <w:p w:rsidR="00D62D00" w:rsidRPr="00192D8F" w:rsidRDefault="00D62D00"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Цифровизация экономики и некоторые бизнес-модели, возникшие вследствие этого, действительно создают трудности для международных налоговых органов; чем дальше, тем сложнее отделять цифровую экономику от «традиционной» экономики в целях налогообложения.</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ОЭСР</w:t>
      </w:r>
      <w:r w:rsidR="00B022E8" w:rsidRPr="00192D8F">
        <w:rPr>
          <w:rFonts w:ascii="Times New Roman" w:hAnsi="Times New Roman"/>
          <w:bCs/>
          <w:color w:val="000000" w:themeColor="text1"/>
          <w:sz w:val="24"/>
          <w:szCs w:val="24"/>
        </w:rPr>
        <w:t xml:space="preserve"> дополнительно</w:t>
      </w:r>
      <w:r w:rsidRPr="00192D8F">
        <w:rPr>
          <w:rFonts w:ascii="Times New Roman" w:hAnsi="Times New Roman"/>
          <w:bCs/>
          <w:color w:val="000000" w:themeColor="text1"/>
          <w:sz w:val="24"/>
          <w:szCs w:val="24"/>
        </w:rPr>
        <w:t xml:space="preserve"> призвала</w:t>
      </w:r>
      <w:r w:rsidRPr="00192D8F">
        <w:rPr>
          <w:rFonts w:ascii="Times New Roman" w:hAnsi="Times New Roman"/>
          <w:bCs/>
          <w:color w:val="000000" w:themeColor="text1"/>
          <w:sz w:val="24"/>
          <w:szCs w:val="24"/>
          <w:vertAlign w:val="superscript"/>
        </w:rPr>
        <w:footnoteReference w:id="16"/>
      </w:r>
      <w:r w:rsidRPr="00192D8F">
        <w:rPr>
          <w:rFonts w:ascii="Times New Roman" w:hAnsi="Times New Roman"/>
          <w:bCs/>
          <w:color w:val="000000" w:themeColor="text1"/>
          <w:sz w:val="24"/>
          <w:szCs w:val="24"/>
        </w:rPr>
        <w:t xml:space="preserve"> финансовых регуляторов мира к созданию новых стандартов для налогообложения криптовалют. Об этом говорится в отчете ведомства, адресованного министрам финансов и главам </w:t>
      </w:r>
      <w:r w:rsidR="00503DB1" w:rsidRPr="00192D8F">
        <w:rPr>
          <w:rFonts w:ascii="Times New Roman" w:hAnsi="Times New Roman"/>
          <w:bCs/>
          <w:color w:val="000000" w:themeColor="text1"/>
          <w:sz w:val="24"/>
          <w:szCs w:val="24"/>
        </w:rPr>
        <w:t>Центробанков</w:t>
      </w:r>
      <w:r w:rsidRPr="00192D8F">
        <w:rPr>
          <w:rFonts w:ascii="Times New Roman" w:hAnsi="Times New Roman"/>
          <w:bCs/>
          <w:color w:val="000000" w:themeColor="text1"/>
          <w:sz w:val="24"/>
          <w:szCs w:val="24"/>
        </w:rPr>
        <w:t xml:space="preserve"> стран-участниц G20. Согласно документу, в планах ОЭСР установление сотрудничества со странами-участницами G20 по «изучению налоговых последствий новых технологий», в частности, криптовалют и технологии блокчейн, а также разработка налогового законодательства для этих сфер. Полноценный запуск программы ОЭСР намечен на 2020 год.</w:t>
      </w:r>
    </w:p>
    <w:p w:rsidR="00C066C1" w:rsidRPr="00192D8F" w:rsidRDefault="00C066C1"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 ОЭСР в 2019 г</w:t>
      </w:r>
      <w:r w:rsidR="00886519" w:rsidRPr="00192D8F">
        <w:rPr>
          <w:rFonts w:ascii="Times New Roman" w:hAnsi="Times New Roman"/>
          <w:bCs/>
          <w:color w:val="000000" w:themeColor="text1"/>
          <w:sz w:val="24"/>
          <w:szCs w:val="24"/>
        </w:rPr>
        <w:t>оду</w:t>
      </w:r>
      <w:r w:rsidRPr="00192D8F">
        <w:rPr>
          <w:rFonts w:ascii="Times New Roman" w:hAnsi="Times New Roman"/>
          <w:bCs/>
          <w:color w:val="000000" w:themeColor="text1"/>
          <w:sz w:val="24"/>
          <w:szCs w:val="24"/>
        </w:rPr>
        <w:t xml:space="preserve"> был создан Блокчейн-центр, одним из приоритетов работы которого будет изучение вопросов налогообложения цифровых финансовых активов</w:t>
      </w:r>
      <w:r w:rsidRPr="00503DB1">
        <w:rPr>
          <w:rFonts w:ascii="Times New Roman" w:hAnsi="Times New Roman"/>
          <w:bCs/>
          <w:color w:val="000000" w:themeColor="text1"/>
          <w:sz w:val="24"/>
          <w:szCs w:val="24"/>
          <w:vertAlign w:val="superscript"/>
        </w:rPr>
        <w:footnoteReference w:id="17"/>
      </w:r>
      <w:r w:rsidRPr="00192D8F">
        <w:rPr>
          <w:rFonts w:ascii="Times New Roman" w:hAnsi="Times New Roman"/>
          <w:bCs/>
          <w:color w:val="000000" w:themeColor="text1"/>
          <w:sz w:val="24"/>
          <w:szCs w:val="24"/>
        </w:rPr>
        <w:t xml:space="preserve">.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Помимо этого, необходимо отметить, что вопросы налогообложения всегда тесно связаны с глобальным обменом информацией и противодействием отмыванию денежных средств и финансированию терроризма.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 переводом на русский язык детальных рекомендаций ФАТФ относительно правил соблюдения принципов ПОД/ФТ при обороте криптовалют можно ознакомиться в материалах Комиссии</w:t>
      </w:r>
      <w:r w:rsidRPr="00192D8F">
        <w:rPr>
          <w:rFonts w:ascii="Times New Roman" w:hAnsi="Times New Roman"/>
          <w:bCs/>
          <w:color w:val="000000" w:themeColor="text1"/>
          <w:sz w:val="24"/>
          <w:szCs w:val="24"/>
          <w:vertAlign w:val="superscript"/>
        </w:rPr>
        <w:footnoteReference w:id="18"/>
      </w:r>
      <w:r w:rsidRPr="00192D8F">
        <w:rPr>
          <w:rFonts w:ascii="Times New Roman" w:hAnsi="Times New Roman"/>
          <w:bCs/>
          <w:color w:val="000000" w:themeColor="text1"/>
          <w:sz w:val="24"/>
          <w:szCs w:val="24"/>
        </w:rPr>
        <w:t xml:space="preserve">. </w:t>
      </w:r>
      <w:r w:rsidR="000B699F" w:rsidRPr="00192D8F">
        <w:rPr>
          <w:rFonts w:ascii="Times New Roman" w:hAnsi="Times New Roman"/>
          <w:bCs/>
          <w:color w:val="000000" w:themeColor="text1"/>
          <w:sz w:val="24"/>
          <w:szCs w:val="24"/>
        </w:rPr>
        <w:t>Стоит отметить – что еще до появления этого стандарта большинство стран ОЭСР уже ввели требования ПОД/ФТ к криптобиржам, криптокошелькам и иногда</w:t>
      </w:r>
      <w:r w:rsidR="00A403B5" w:rsidRPr="00192D8F">
        <w:rPr>
          <w:rFonts w:ascii="Times New Roman" w:hAnsi="Times New Roman"/>
          <w:bCs/>
          <w:color w:val="000000" w:themeColor="text1"/>
          <w:sz w:val="24"/>
          <w:szCs w:val="24"/>
        </w:rPr>
        <w:t xml:space="preserve"> к</w:t>
      </w:r>
      <w:r w:rsidR="000B699F" w:rsidRPr="00192D8F">
        <w:rPr>
          <w:rFonts w:ascii="Times New Roman" w:hAnsi="Times New Roman"/>
          <w:bCs/>
          <w:color w:val="000000" w:themeColor="text1"/>
          <w:sz w:val="24"/>
          <w:szCs w:val="24"/>
        </w:rPr>
        <w:t xml:space="preserve"> ICO.</w:t>
      </w:r>
    </w:p>
    <w:p w:rsidR="00592EB6" w:rsidRPr="00192D8F" w:rsidRDefault="00E50ECE"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 xml:space="preserve">Еще одной «смежной» с налогами отраслью регулирования является валютное право, краткие комментарии относительно которого сводятся к следующему. Во-первых, </w:t>
      </w:r>
      <w:r w:rsidRPr="00192D8F">
        <w:rPr>
          <w:rFonts w:ascii="Times New Roman" w:hAnsi="Times New Roman"/>
          <w:bCs/>
          <w:color w:val="000000" w:themeColor="text1"/>
          <w:sz w:val="24"/>
          <w:szCs w:val="24"/>
        </w:rPr>
        <w:lastRenderedPageBreak/>
        <w:t xml:space="preserve">использование криптовалюты в качестве платежного средства (например, во внешнеторговых сделках) на текущий момент затруднено и потребует изменений в законодательство о платежной системе и о валютном контроле. Во-вторых, доходы от операций с криптовалютами не могут зачисляться на счета российский валютных резидентов, официально открытых в зарубежных банках (минуя уполномоченный банк в РФ). </w:t>
      </w:r>
    </w:p>
    <w:p w:rsidR="00592EB6" w:rsidRPr="00192D8F" w:rsidRDefault="00592EB6" w:rsidP="00192D8F">
      <w:pPr>
        <w:spacing w:before="240" w:after="240" w:line="360" w:lineRule="auto"/>
        <w:ind w:firstLine="709"/>
        <w:jc w:val="center"/>
        <w:rPr>
          <w:rFonts w:ascii="Times New Roman" w:hAnsi="Times New Roman"/>
          <w:b/>
          <w:bCs/>
          <w:color w:val="000000" w:themeColor="text1"/>
          <w:sz w:val="24"/>
          <w:szCs w:val="24"/>
          <w:u w:val="single"/>
        </w:rPr>
      </w:pPr>
      <w:r w:rsidRPr="00192D8F">
        <w:rPr>
          <w:rFonts w:ascii="Times New Roman" w:hAnsi="Times New Roman"/>
          <w:b/>
          <w:bCs/>
          <w:color w:val="000000" w:themeColor="text1"/>
          <w:sz w:val="24"/>
          <w:szCs w:val="24"/>
        </w:rPr>
        <w:t>2. БАЗОВЫЕ РЕКОМЕНДАЦИИ ОТНОСИТЕЛЬНО НАЛОГООБЛОЖЕНИЯ КРИПТОВАЛЮТ В РФ</w:t>
      </w:r>
    </w:p>
    <w:p w:rsidR="00592EB6" w:rsidRPr="00192D8F" w:rsidRDefault="006C79CC" w:rsidP="00192D8F">
      <w:pPr>
        <w:spacing w:before="240" w:after="24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Участники заседания Комиссии единогласны во мнении, что введение специального цифрового налога не требуется. Потребности оборота криптоактивов возможно учесть и решить за счет корректировок существующих налоговых режимов. </w:t>
      </w:r>
    </w:p>
    <w:p w:rsidR="006C79CC" w:rsidRPr="00192D8F" w:rsidRDefault="00592EB6"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2.1. Унификация всех видов токенов для целей налогообложения</w:t>
      </w:r>
    </w:p>
    <w:p w:rsidR="006C79CC" w:rsidRPr="00192D8F" w:rsidRDefault="00A403B5"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На момент проведения заседания Комиссии п</w:t>
      </w:r>
      <w:r w:rsidR="006C79CC" w:rsidRPr="00192D8F">
        <w:rPr>
          <w:rFonts w:ascii="Times New Roman" w:hAnsi="Times New Roman"/>
          <w:bCs/>
          <w:color w:val="000000" w:themeColor="text1"/>
          <w:sz w:val="24"/>
          <w:szCs w:val="24"/>
        </w:rPr>
        <w:t xml:space="preserve">роект закона о ЦФА не предполагает регулирование токенов </w:t>
      </w:r>
      <w:r w:rsidRPr="00192D8F">
        <w:rPr>
          <w:rFonts w:ascii="Times New Roman" w:hAnsi="Times New Roman"/>
          <w:bCs/>
          <w:color w:val="000000" w:themeColor="text1"/>
          <w:sz w:val="24"/>
          <w:szCs w:val="24"/>
        </w:rPr>
        <w:t xml:space="preserve">и </w:t>
      </w:r>
      <w:r w:rsidR="006C79CC" w:rsidRPr="00192D8F">
        <w:rPr>
          <w:rFonts w:ascii="Times New Roman" w:hAnsi="Times New Roman"/>
          <w:bCs/>
          <w:color w:val="000000" w:themeColor="text1"/>
          <w:sz w:val="24"/>
          <w:szCs w:val="24"/>
        </w:rPr>
        <w:t>монет, выпущенных на открытых (публичных) распределенных системах (блокчейнах), не имеющих центральных операторов. Соответственно, гражданско-правовой статус «вольных» токенов и классической пла</w:t>
      </w:r>
      <w:r w:rsidR="00836EC6" w:rsidRPr="00192D8F">
        <w:rPr>
          <w:rFonts w:ascii="Times New Roman" w:hAnsi="Times New Roman"/>
          <w:bCs/>
          <w:color w:val="000000" w:themeColor="text1"/>
          <w:sz w:val="24"/>
          <w:szCs w:val="24"/>
        </w:rPr>
        <w:t>тежной криптовалюты остаётся не</w:t>
      </w:r>
      <w:r w:rsidR="006C79CC" w:rsidRPr="00192D8F">
        <w:rPr>
          <w:rFonts w:ascii="Times New Roman" w:hAnsi="Times New Roman"/>
          <w:bCs/>
          <w:color w:val="000000" w:themeColor="text1"/>
          <w:sz w:val="24"/>
          <w:szCs w:val="24"/>
        </w:rPr>
        <w:t xml:space="preserve">определённым. </w:t>
      </w:r>
    </w:p>
    <w:p w:rsidR="00836EC6" w:rsidRPr="00192D8F" w:rsidRDefault="00836EC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Это </w:t>
      </w:r>
      <w:r w:rsidR="00886519" w:rsidRPr="00192D8F">
        <w:rPr>
          <w:rFonts w:ascii="Times New Roman" w:hAnsi="Times New Roman"/>
          <w:bCs/>
          <w:color w:val="000000" w:themeColor="text1"/>
          <w:sz w:val="24"/>
          <w:szCs w:val="24"/>
        </w:rPr>
        <w:t>затрудняет</w:t>
      </w:r>
      <w:r w:rsidRPr="00192D8F">
        <w:rPr>
          <w:rFonts w:ascii="Times New Roman" w:hAnsi="Times New Roman"/>
          <w:bCs/>
          <w:color w:val="000000" w:themeColor="text1"/>
          <w:sz w:val="24"/>
          <w:szCs w:val="24"/>
        </w:rPr>
        <w:t xml:space="preserve"> возможность четкого определения юридических фактов, обуславливающих возникновение обязанност</w:t>
      </w:r>
      <w:r w:rsidR="00E50ECE" w:rsidRPr="00192D8F">
        <w:rPr>
          <w:rFonts w:ascii="Times New Roman" w:hAnsi="Times New Roman"/>
          <w:bCs/>
          <w:color w:val="000000" w:themeColor="text1"/>
          <w:sz w:val="24"/>
          <w:szCs w:val="24"/>
        </w:rPr>
        <w:t>и</w:t>
      </w:r>
      <w:r w:rsidRPr="00192D8F">
        <w:rPr>
          <w:rFonts w:ascii="Times New Roman" w:hAnsi="Times New Roman"/>
          <w:bCs/>
          <w:color w:val="000000" w:themeColor="text1"/>
          <w:sz w:val="24"/>
          <w:szCs w:val="24"/>
        </w:rPr>
        <w:t xml:space="preserve"> по уплате НДС, НДФЛ, налога на прибыль лицами, совершающими соответствующие </w:t>
      </w:r>
      <w:r w:rsidR="00E50ECE" w:rsidRPr="00192D8F">
        <w:rPr>
          <w:rFonts w:ascii="Times New Roman" w:hAnsi="Times New Roman"/>
          <w:bCs/>
          <w:color w:val="000000" w:themeColor="text1"/>
          <w:sz w:val="24"/>
          <w:szCs w:val="24"/>
        </w:rPr>
        <w:t>операции</w:t>
      </w:r>
      <w:r w:rsidRPr="00192D8F">
        <w:rPr>
          <w:rFonts w:ascii="Times New Roman" w:hAnsi="Times New Roman"/>
          <w:bCs/>
          <w:color w:val="000000" w:themeColor="text1"/>
          <w:sz w:val="24"/>
          <w:szCs w:val="24"/>
        </w:rPr>
        <w:t xml:space="preserve">.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Вместе с тем, для создания комфортного налогового климата в РФ для целей налогообложения все виды токенов (как цифровых прав, прямо упомянутых в качестве таковых в российском законе, так и для прочих токенов/монет, выпущенных на нелицензируемых в РФ открытых блокчейнах) необходимо приравнять к имущественным правам.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 учетом принципа равенства налогообложения, а также принципа экономического основания налогов, к однородным с экономической точки зрения отношениям должны применяться единые налоговые последствия</w:t>
      </w:r>
      <w:r w:rsidR="00A403B5" w:rsidRPr="00503DB1">
        <w:rPr>
          <w:rFonts w:ascii="Times New Roman" w:hAnsi="Times New Roman"/>
          <w:bCs/>
          <w:color w:val="000000" w:themeColor="text1"/>
          <w:sz w:val="24"/>
          <w:szCs w:val="24"/>
          <w:vertAlign w:val="superscript"/>
        </w:rPr>
        <w:footnoteReference w:id="19"/>
      </w:r>
      <w:r w:rsidRPr="00192D8F">
        <w:rPr>
          <w:rFonts w:ascii="Times New Roman" w:hAnsi="Times New Roman"/>
          <w:bCs/>
          <w:color w:val="000000" w:themeColor="text1"/>
          <w:sz w:val="24"/>
          <w:szCs w:val="24"/>
        </w:rPr>
        <w:t>.</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 технологической точки зрения данные сущности, как минимум, являются однородными, если не сказать идентичными.</w:t>
      </w:r>
    </w:p>
    <w:p w:rsidR="006C79CC" w:rsidRPr="00192D8F" w:rsidRDefault="00592EB6"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lastRenderedPageBreak/>
        <w:t>2.2. Гармонизация правил налогообложения для цифровых прав (цифровых финансовых активов) и прав, которые они удостоверяют</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Согласно пункту 2 статьи 1 проекта закона о ЦФА (в редакции, доступной в открытом доступе на момент заседания Комиссии) цифровыми финансовыми активами признаются цифровые права, включающие обязательственные и иные права, в том числе денежные требования, возможность осуществления прав по эмиссионным ценным бумагам, право требовать передачи эмиссионных ценных бумаг, которые закреплены в решении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информационной системе на основе распределенного реестра.</w:t>
      </w:r>
    </w:p>
    <w:p w:rsidR="006C79CC" w:rsidRPr="00192D8F" w:rsidRDefault="00FB0325"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Как следует из </w:t>
      </w:r>
      <w:r w:rsidR="006C79CC" w:rsidRPr="00192D8F">
        <w:rPr>
          <w:rFonts w:ascii="Times New Roman" w:hAnsi="Times New Roman"/>
          <w:bCs/>
          <w:color w:val="000000" w:themeColor="text1"/>
          <w:sz w:val="24"/>
          <w:szCs w:val="24"/>
        </w:rPr>
        <w:t>пункт</w:t>
      </w:r>
      <w:r w:rsidRPr="00192D8F">
        <w:rPr>
          <w:rFonts w:ascii="Times New Roman" w:hAnsi="Times New Roman"/>
          <w:bCs/>
          <w:color w:val="000000" w:themeColor="text1"/>
          <w:sz w:val="24"/>
          <w:szCs w:val="24"/>
        </w:rPr>
        <w:t>а</w:t>
      </w:r>
      <w:r w:rsidR="006C79CC" w:rsidRPr="00192D8F">
        <w:rPr>
          <w:rFonts w:ascii="Times New Roman" w:hAnsi="Times New Roman"/>
          <w:bCs/>
          <w:color w:val="000000" w:themeColor="text1"/>
          <w:sz w:val="24"/>
          <w:szCs w:val="24"/>
        </w:rPr>
        <w:t xml:space="preserve"> 2 статьи 2 данного законопроекта вид и объем прав, которые удостоверяют выпускаемые цифровые финансовые активы, закрепляются в решении о выпуске цифровых финансовых активов.</w:t>
      </w:r>
    </w:p>
    <w:p w:rsidR="006C79CC" w:rsidRPr="00192D8F" w:rsidRDefault="00FB0325"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соответствии со </w:t>
      </w:r>
      <w:r w:rsidR="006C79CC" w:rsidRPr="00192D8F">
        <w:rPr>
          <w:rFonts w:ascii="Times New Roman" w:hAnsi="Times New Roman"/>
          <w:bCs/>
          <w:color w:val="000000" w:themeColor="text1"/>
          <w:sz w:val="24"/>
          <w:szCs w:val="24"/>
        </w:rPr>
        <w:t>стать</w:t>
      </w:r>
      <w:r w:rsidRPr="00192D8F">
        <w:rPr>
          <w:rFonts w:ascii="Times New Roman" w:hAnsi="Times New Roman"/>
          <w:bCs/>
          <w:color w:val="000000" w:themeColor="text1"/>
          <w:sz w:val="24"/>
          <w:szCs w:val="24"/>
        </w:rPr>
        <w:t>ей</w:t>
      </w:r>
      <w:r w:rsidR="006C79CC" w:rsidRPr="00192D8F">
        <w:rPr>
          <w:rFonts w:ascii="Times New Roman" w:hAnsi="Times New Roman"/>
          <w:bCs/>
          <w:color w:val="000000" w:themeColor="text1"/>
          <w:sz w:val="24"/>
          <w:szCs w:val="24"/>
        </w:rPr>
        <w:t xml:space="preserve"> 141.1 ГК РФ «цифровыми правами признаются названные в таком качестве в законе обязательственные и иные права».</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 учетом ранее указанного, а также руководствуясь принципами равенства и справедливости налогообложения, представляется установить единый подход к оценке налоговых последствий для цифровых финансовых активов и удостоверяемых ими и обязательственных и иных прав. </w:t>
      </w:r>
    </w:p>
    <w:p w:rsidR="00A850E8"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первую очередь, речь идет об освобождении результатов операций с цифровыми правами в контексте статей 149 НК РФ (НДС) и 251 НК РФ (прибыль). </w:t>
      </w:r>
    </w:p>
    <w:p w:rsidR="006C79CC" w:rsidRPr="00192D8F" w:rsidRDefault="00592EB6"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2.3. Вопросы кросс-курса и измерения криптовалют в рублевом выражении</w:t>
      </w:r>
    </w:p>
    <w:p w:rsidR="00602C4F"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Одним из </w:t>
      </w:r>
      <w:r w:rsidR="00FB0325" w:rsidRPr="00192D8F">
        <w:rPr>
          <w:rFonts w:ascii="Times New Roman" w:hAnsi="Times New Roman"/>
          <w:bCs/>
          <w:color w:val="000000" w:themeColor="text1"/>
          <w:sz w:val="24"/>
          <w:szCs w:val="24"/>
        </w:rPr>
        <w:t>«</w:t>
      </w:r>
      <w:r w:rsidRPr="00192D8F">
        <w:rPr>
          <w:rFonts w:ascii="Times New Roman" w:hAnsi="Times New Roman"/>
          <w:bCs/>
          <w:color w:val="000000" w:themeColor="text1"/>
          <w:sz w:val="24"/>
          <w:szCs w:val="24"/>
        </w:rPr>
        <w:t>наболевших</w:t>
      </w:r>
      <w:r w:rsidR="00FB0325" w:rsidRPr="00192D8F">
        <w:rPr>
          <w:rFonts w:ascii="Times New Roman" w:hAnsi="Times New Roman"/>
          <w:bCs/>
          <w:color w:val="000000" w:themeColor="text1"/>
          <w:sz w:val="24"/>
          <w:szCs w:val="24"/>
        </w:rPr>
        <w:t>»</w:t>
      </w:r>
      <w:r w:rsidRPr="00192D8F">
        <w:rPr>
          <w:rFonts w:ascii="Times New Roman" w:hAnsi="Times New Roman"/>
          <w:bCs/>
          <w:color w:val="000000" w:themeColor="text1"/>
          <w:sz w:val="24"/>
          <w:szCs w:val="24"/>
        </w:rPr>
        <w:t xml:space="preserve"> вопросов является проблема денежного выражения цифровых финансовых активов в налоговом учете. Данный вопрос предлагается урегулировать за счет учетных политик.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Разработка учетной политики для целей налогообложения обязательна в соответствии с требованиями глав 21, 25, 26, 26.4, 30 НК РФ. В учетной политике для целей налогообложения отражаются вопросы, порядок решения которых прямо не предусмотрен НК РФ.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Налоговая учетная политика оформляется либо как отдельный документ, либо как приложение к бухгалтерской учетной политике и утверждается руководителем организации.</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 xml:space="preserve">Комиссия считает целесообразным предоставить налогоплательщикам право самостоятельно фиксировать применяемый крипто-валютный кросс-курс в учетных политиках.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Ключевое требование: неизменность источника информации на момент получения и выбытия цифровых прав.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Источником информации может служить внутренний курс электронного кошелька или аккаунта площадки, однако при условии прохождения налогоплательщиком корпоративной верификации. </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Для «иностранных» токенов (цифровых прав, обращающихся вне российских площадок и как следствие, не имеющих установленного курса в рублевом эквиваленте) возможно использовать следующий алгоритм: </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bookmarkStart w:id="2" w:name="_Hlk15342592"/>
      <w:r w:rsidRPr="00192D8F">
        <w:rPr>
          <w:rFonts w:ascii="Times New Roman" w:hAnsi="Times New Roman"/>
          <w:bCs/>
          <w:color w:val="000000" w:themeColor="text1"/>
          <w:sz w:val="24"/>
          <w:szCs w:val="24"/>
        </w:rPr>
        <w:t xml:space="preserve">- </w:t>
      </w:r>
      <w:r w:rsidR="006C79CC" w:rsidRPr="00192D8F">
        <w:rPr>
          <w:rFonts w:ascii="Times New Roman" w:hAnsi="Times New Roman"/>
          <w:bCs/>
          <w:color w:val="000000" w:themeColor="text1"/>
          <w:sz w:val="24"/>
          <w:szCs w:val="24"/>
        </w:rPr>
        <w:t>внутренний курс конкретной цифровой монеты к BTC на электронном кошельке или на аккаунте биржи при условии прохождения корпоративной верификации;</w:t>
      </w:r>
    </w:p>
    <w:bookmarkEnd w:id="2"/>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6C79CC" w:rsidRPr="00192D8F">
        <w:rPr>
          <w:rFonts w:ascii="Times New Roman" w:hAnsi="Times New Roman"/>
          <w:bCs/>
          <w:color w:val="000000" w:themeColor="text1"/>
          <w:sz w:val="24"/>
          <w:szCs w:val="24"/>
        </w:rPr>
        <w:t xml:space="preserve">курс BTC к доллару США, например, установленному </w:t>
      </w:r>
      <w:r w:rsidR="00F73968" w:rsidRPr="00192D8F">
        <w:rPr>
          <w:rFonts w:ascii="Times New Roman" w:hAnsi="Times New Roman"/>
          <w:bCs/>
          <w:color w:val="000000" w:themeColor="text1"/>
          <w:sz w:val="24"/>
          <w:szCs w:val="24"/>
        </w:rPr>
        <w:t xml:space="preserve">профессиональным участником данного рынка </w:t>
      </w:r>
      <w:r w:rsidR="006C79CC" w:rsidRPr="00192D8F">
        <w:rPr>
          <w:rFonts w:ascii="Times New Roman" w:hAnsi="Times New Roman"/>
          <w:bCs/>
          <w:color w:val="000000" w:themeColor="text1"/>
          <w:sz w:val="24"/>
          <w:szCs w:val="24"/>
        </w:rPr>
        <w:t>как российским профильным отраслевым сообществом</w:t>
      </w:r>
      <w:r w:rsidR="00F73968" w:rsidRPr="00192D8F">
        <w:rPr>
          <w:rFonts w:ascii="Times New Roman" w:hAnsi="Times New Roman"/>
          <w:bCs/>
          <w:color w:val="000000" w:themeColor="text1"/>
          <w:sz w:val="24"/>
          <w:szCs w:val="24"/>
        </w:rPr>
        <w:t xml:space="preserve"> или регулятором</w:t>
      </w:r>
      <w:r w:rsidR="006C79CC" w:rsidRPr="00192D8F">
        <w:rPr>
          <w:rFonts w:ascii="Times New Roman" w:hAnsi="Times New Roman"/>
          <w:bCs/>
          <w:color w:val="000000" w:themeColor="text1"/>
          <w:sz w:val="24"/>
          <w:szCs w:val="24"/>
        </w:rPr>
        <w:t>;</w:t>
      </w:r>
    </w:p>
    <w:p w:rsidR="006C79CC" w:rsidRPr="00192D8F" w:rsidRDefault="00592EB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 </w:t>
      </w:r>
      <w:r w:rsidR="006C79CC" w:rsidRPr="00192D8F">
        <w:rPr>
          <w:rFonts w:ascii="Times New Roman" w:hAnsi="Times New Roman"/>
          <w:bCs/>
          <w:color w:val="000000" w:themeColor="text1"/>
          <w:sz w:val="24"/>
          <w:szCs w:val="24"/>
        </w:rPr>
        <w:t>официальный курс доллара США к рублю, установленному Банком России.</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Несмотря на то, что для физических лиц в целях главы 23 НК РФ «НДФЛ» составление учетной политики не предусмотрено, во избежания споров с налоговыми органами, физическим лицам рекомендуется самостоятельно разработать аналогичного рода документ, и заверить его у нотариуса. </w:t>
      </w:r>
    </w:p>
    <w:p w:rsidR="00A850E8" w:rsidRDefault="00A50901" w:rsidP="00192D8F">
      <w:pPr>
        <w:spacing w:after="0" w:line="360" w:lineRule="auto"/>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Учитывая, что </w:t>
      </w:r>
      <w:r w:rsidR="00F73968" w:rsidRPr="00192D8F">
        <w:rPr>
          <w:rFonts w:ascii="Times New Roman" w:hAnsi="Times New Roman"/>
          <w:bCs/>
          <w:color w:val="000000" w:themeColor="text1"/>
          <w:sz w:val="24"/>
          <w:szCs w:val="24"/>
        </w:rPr>
        <w:t>подобный механизм</w:t>
      </w:r>
      <w:r w:rsidRPr="00192D8F">
        <w:rPr>
          <w:rFonts w:ascii="Times New Roman" w:hAnsi="Times New Roman"/>
          <w:bCs/>
          <w:color w:val="000000" w:themeColor="text1"/>
          <w:sz w:val="24"/>
          <w:szCs w:val="24"/>
        </w:rPr>
        <w:t xml:space="preserve"> в законодательстве о налогах и сборах </w:t>
      </w:r>
      <w:r w:rsidR="00E50ECE" w:rsidRPr="00192D8F">
        <w:rPr>
          <w:rFonts w:ascii="Times New Roman" w:hAnsi="Times New Roman"/>
          <w:bCs/>
          <w:color w:val="000000" w:themeColor="text1"/>
          <w:sz w:val="24"/>
          <w:szCs w:val="24"/>
        </w:rPr>
        <w:t xml:space="preserve">прямо </w:t>
      </w:r>
      <w:r w:rsidRPr="00192D8F">
        <w:rPr>
          <w:rFonts w:ascii="Times New Roman" w:hAnsi="Times New Roman"/>
          <w:bCs/>
          <w:color w:val="000000" w:themeColor="text1"/>
          <w:sz w:val="24"/>
          <w:szCs w:val="24"/>
        </w:rPr>
        <w:t xml:space="preserve">не </w:t>
      </w:r>
      <w:r w:rsidR="00E50ECE" w:rsidRPr="00192D8F">
        <w:rPr>
          <w:rFonts w:ascii="Times New Roman" w:hAnsi="Times New Roman"/>
          <w:bCs/>
          <w:color w:val="000000" w:themeColor="text1"/>
          <w:sz w:val="24"/>
          <w:szCs w:val="24"/>
        </w:rPr>
        <w:t>установлен</w:t>
      </w:r>
      <w:r w:rsidRPr="00192D8F">
        <w:rPr>
          <w:rFonts w:ascii="Times New Roman" w:hAnsi="Times New Roman"/>
          <w:bCs/>
          <w:color w:val="000000" w:themeColor="text1"/>
          <w:sz w:val="24"/>
          <w:szCs w:val="24"/>
        </w:rPr>
        <w:t xml:space="preserve">,  полагаем, </w:t>
      </w:r>
      <w:r w:rsidR="00684871" w:rsidRPr="00192D8F">
        <w:rPr>
          <w:rFonts w:ascii="Times New Roman" w:hAnsi="Times New Roman"/>
          <w:bCs/>
          <w:color w:val="000000" w:themeColor="text1"/>
          <w:sz w:val="24"/>
          <w:szCs w:val="24"/>
        </w:rPr>
        <w:t>что закрепление</w:t>
      </w:r>
      <w:r w:rsidRPr="00192D8F">
        <w:rPr>
          <w:rFonts w:ascii="Times New Roman" w:hAnsi="Times New Roman"/>
          <w:bCs/>
          <w:color w:val="000000" w:themeColor="text1"/>
          <w:sz w:val="24"/>
          <w:szCs w:val="24"/>
        </w:rPr>
        <w:t xml:space="preserve"> физическим лицом </w:t>
      </w:r>
      <w:r w:rsidR="00684871" w:rsidRPr="00192D8F">
        <w:rPr>
          <w:rFonts w:ascii="Times New Roman" w:hAnsi="Times New Roman"/>
          <w:bCs/>
          <w:color w:val="000000" w:themeColor="text1"/>
          <w:sz w:val="24"/>
          <w:szCs w:val="24"/>
        </w:rPr>
        <w:t xml:space="preserve">в специальном документе </w:t>
      </w:r>
      <w:r w:rsidRPr="00192D8F">
        <w:rPr>
          <w:rFonts w:ascii="Times New Roman" w:hAnsi="Times New Roman"/>
          <w:bCs/>
          <w:color w:val="000000" w:themeColor="text1"/>
          <w:sz w:val="24"/>
          <w:szCs w:val="24"/>
        </w:rPr>
        <w:t xml:space="preserve">алгоритма определения  стоимости цифровых прав, а также источника определения курса, применяемого для расчета стоимости, </w:t>
      </w:r>
      <w:r w:rsidR="00684871" w:rsidRPr="00192D8F">
        <w:rPr>
          <w:rFonts w:ascii="Times New Roman" w:hAnsi="Times New Roman"/>
          <w:bCs/>
          <w:color w:val="000000" w:themeColor="text1"/>
          <w:sz w:val="24"/>
          <w:szCs w:val="24"/>
        </w:rPr>
        <w:t xml:space="preserve">в случае возникновения разногласий с налоговым органом </w:t>
      </w:r>
      <w:r w:rsidRPr="00192D8F">
        <w:rPr>
          <w:rFonts w:ascii="Times New Roman" w:hAnsi="Times New Roman"/>
          <w:bCs/>
          <w:color w:val="000000" w:themeColor="text1"/>
          <w:sz w:val="24"/>
          <w:szCs w:val="24"/>
        </w:rPr>
        <w:t>может быть квалифицировано налоговым органом как осмотрительное и добросовестное</w:t>
      </w:r>
      <w:r w:rsidR="00684871" w:rsidRPr="00192D8F">
        <w:rPr>
          <w:rFonts w:ascii="Times New Roman" w:hAnsi="Times New Roman"/>
          <w:bCs/>
          <w:color w:val="000000" w:themeColor="text1"/>
          <w:sz w:val="24"/>
          <w:szCs w:val="24"/>
        </w:rPr>
        <w:t xml:space="preserve"> поведение</w:t>
      </w:r>
      <w:r w:rsidRPr="00192D8F">
        <w:rPr>
          <w:rFonts w:ascii="Times New Roman" w:hAnsi="Times New Roman"/>
          <w:bCs/>
          <w:color w:val="000000" w:themeColor="text1"/>
          <w:sz w:val="24"/>
          <w:szCs w:val="24"/>
        </w:rPr>
        <w:t xml:space="preserve">, </w:t>
      </w:r>
      <w:r w:rsidR="00684871" w:rsidRPr="00192D8F">
        <w:rPr>
          <w:rFonts w:ascii="Times New Roman" w:hAnsi="Times New Roman"/>
          <w:bCs/>
          <w:color w:val="000000" w:themeColor="text1"/>
          <w:sz w:val="24"/>
          <w:szCs w:val="24"/>
        </w:rPr>
        <w:t>исключающее</w:t>
      </w:r>
      <w:r w:rsidR="00E50ECE" w:rsidRPr="00192D8F">
        <w:rPr>
          <w:rFonts w:ascii="Times New Roman" w:hAnsi="Times New Roman"/>
          <w:bCs/>
          <w:color w:val="000000" w:themeColor="text1"/>
          <w:sz w:val="24"/>
          <w:szCs w:val="24"/>
        </w:rPr>
        <w:t>/смягчающее</w:t>
      </w:r>
      <w:r w:rsidR="00684871" w:rsidRPr="00192D8F">
        <w:rPr>
          <w:rFonts w:ascii="Times New Roman" w:hAnsi="Times New Roman"/>
          <w:bCs/>
          <w:color w:val="000000" w:themeColor="text1"/>
          <w:sz w:val="24"/>
          <w:szCs w:val="24"/>
        </w:rPr>
        <w:t xml:space="preserve"> привлечение к налоговой ответственности.</w:t>
      </w:r>
    </w:p>
    <w:p w:rsidR="00503DB1" w:rsidRDefault="00503DB1" w:rsidP="00192D8F">
      <w:pPr>
        <w:spacing w:after="0" w:line="360" w:lineRule="auto"/>
        <w:jc w:val="both"/>
        <w:rPr>
          <w:rFonts w:ascii="Times New Roman" w:hAnsi="Times New Roman"/>
          <w:bCs/>
          <w:color w:val="000000" w:themeColor="text1"/>
          <w:sz w:val="24"/>
          <w:szCs w:val="24"/>
        </w:rPr>
      </w:pPr>
    </w:p>
    <w:p w:rsidR="00503DB1" w:rsidRDefault="00503DB1" w:rsidP="00192D8F">
      <w:pPr>
        <w:spacing w:after="0" w:line="360" w:lineRule="auto"/>
        <w:jc w:val="both"/>
        <w:rPr>
          <w:rFonts w:ascii="Times New Roman" w:hAnsi="Times New Roman"/>
          <w:bCs/>
          <w:color w:val="000000" w:themeColor="text1"/>
          <w:sz w:val="24"/>
          <w:szCs w:val="24"/>
        </w:rPr>
      </w:pPr>
    </w:p>
    <w:p w:rsidR="00503DB1" w:rsidRPr="00192D8F" w:rsidRDefault="00503DB1" w:rsidP="00192D8F">
      <w:pPr>
        <w:spacing w:after="0" w:line="360" w:lineRule="auto"/>
        <w:jc w:val="both"/>
        <w:rPr>
          <w:rFonts w:ascii="Times New Roman" w:hAnsi="Times New Roman"/>
          <w:bCs/>
          <w:color w:val="000000" w:themeColor="text1"/>
          <w:sz w:val="24"/>
          <w:szCs w:val="24"/>
        </w:rPr>
      </w:pPr>
    </w:p>
    <w:p w:rsidR="006C79CC" w:rsidRPr="00192D8F" w:rsidRDefault="00592EB6" w:rsidP="00192D8F">
      <w:pPr>
        <w:spacing w:before="240" w:after="240" w:line="360" w:lineRule="auto"/>
        <w:ind w:firstLine="709"/>
        <w:jc w:val="center"/>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3. НАЛОГ НА ДОБАВЛЕННУЮ СТОИМОСТЬ</w:t>
      </w:r>
    </w:p>
    <w:p w:rsidR="006C79CC" w:rsidRPr="00192D8F" w:rsidRDefault="006C79C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3.1. Полное освобождение оборота всех цифровых прав от НДС</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Передача цифровых прав (ввиду их принадлежности к имущественным правам) является объектом обложения НДС в силу прямого указания пункта 1 статьи 146 НК РФ.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Представляется целесообразным освободить оборот цифровых прав в РФ от НДС, для чего предлагается внесение следующих изменений в НК РФ:</w:t>
      </w:r>
    </w:p>
    <w:p w:rsidR="00592EB6" w:rsidRPr="00192D8F" w:rsidRDefault="006C79CC" w:rsidP="003A4E93">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дополнить часть 3 статьи 149 НК РФ подпунктом следующего содержания: </w:t>
      </w:r>
    </w:p>
    <w:p w:rsidR="00592EB6" w:rsidRPr="00192D8F" w:rsidRDefault="00592EB6" w:rsidP="00192D8F">
      <w:pPr>
        <w:spacing w:after="0" w:line="360" w:lineRule="auto"/>
        <w:ind w:firstLine="709"/>
        <w:jc w:val="both"/>
        <w:rPr>
          <w:rFonts w:ascii="Times New Roman" w:hAnsi="Times New Roman"/>
          <w:bCs/>
          <w:color w:val="000000" w:themeColor="text1"/>
          <w:sz w:val="24"/>
          <w:szCs w:val="24"/>
        </w:rPr>
      </w:pPr>
    </w:p>
    <w:p w:rsidR="006C79CC" w:rsidRPr="00192D8F" w:rsidRDefault="006C79CC" w:rsidP="00192D8F">
      <w:pPr>
        <w:spacing w:after="0" w:line="360" w:lineRule="auto"/>
        <w:ind w:firstLine="709"/>
        <w:jc w:val="both"/>
        <w:rPr>
          <w:rFonts w:ascii="Times New Roman" w:hAnsi="Times New Roman"/>
          <w:bCs/>
          <w:i/>
          <w:color w:val="000000" w:themeColor="text1"/>
          <w:sz w:val="24"/>
          <w:szCs w:val="24"/>
        </w:rPr>
      </w:pPr>
      <w:r w:rsidRPr="00192D8F">
        <w:rPr>
          <w:rFonts w:ascii="Times New Roman" w:hAnsi="Times New Roman"/>
          <w:bCs/>
          <w:i/>
          <w:color w:val="000000" w:themeColor="text1"/>
          <w:sz w:val="24"/>
          <w:szCs w:val="24"/>
        </w:rPr>
        <w:t>«37) операции с цифровыми правами (цифровыми финансовыми активами)».</w:t>
      </w:r>
    </w:p>
    <w:p w:rsidR="007C17CC" w:rsidRPr="00192D8F" w:rsidRDefault="007C17CC" w:rsidP="00192D8F">
      <w:pPr>
        <w:spacing w:after="0" w:line="360" w:lineRule="auto"/>
        <w:ind w:firstLine="709"/>
        <w:jc w:val="both"/>
        <w:rPr>
          <w:rFonts w:ascii="Times New Roman" w:hAnsi="Times New Roman"/>
          <w:bCs/>
          <w:i/>
          <w:color w:val="000000" w:themeColor="text1"/>
          <w:sz w:val="24"/>
          <w:szCs w:val="24"/>
        </w:rPr>
      </w:pP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w:t>
      </w:r>
      <w:r w:rsidR="003034EB" w:rsidRPr="00192D8F">
        <w:rPr>
          <w:rFonts w:ascii="Times New Roman" w:hAnsi="Times New Roman"/>
          <w:bCs/>
          <w:color w:val="000000" w:themeColor="text1"/>
          <w:sz w:val="24"/>
          <w:szCs w:val="24"/>
        </w:rPr>
        <w:t>любом случае, представляется ра</w:t>
      </w:r>
      <w:r w:rsidRPr="00192D8F">
        <w:rPr>
          <w:rFonts w:ascii="Times New Roman" w:hAnsi="Times New Roman"/>
          <w:bCs/>
          <w:color w:val="000000" w:themeColor="text1"/>
          <w:sz w:val="24"/>
          <w:szCs w:val="24"/>
        </w:rPr>
        <w:t>з</w:t>
      </w:r>
      <w:r w:rsidR="003034EB" w:rsidRPr="00192D8F">
        <w:rPr>
          <w:rFonts w:ascii="Times New Roman" w:hAnsi="Times New Roman"/>
          <w:bCs/>
          <w:color w:val="000000" w:themeColor="text1"/>
          <w:sz w:val="24"/>
          <w:szCs w:val="24"/>
        </w:rPr>
        <w:t>у</w:t>
      </w:r>
      <w:r w:rsidRPr="00192D8F">
        <w:rPr>
          <w:rFonts w:ascii="Times New Roman" w:hAnsi="Times New Roman"/>
          <w:bCs/>
          <w:color w:val="000000" w:themeColor="text1"/>
          <w:sz w:val="24"/>
          <w:szCs w:val="24"/>
        </w:rPr>
        <w:t>мным освободить от НДС оборот тех цифровых финансовых активов, которые затрагивают операции, перечисленные в статье 149 НК РФ «Операции, не подлежащие налогообложению (освобождаемые от налогообложения)».</w:t>
      </w:r>
    </w:p>
    <w:p w:rsidR="00592EB6" w:rsidRPr="00192D8F" w:rsidRDefault="00886519"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Применительно к НДС также существует дискуссионная точка зрения относительно возможности определения классической платежной криптовалюты как товара или платежного средства.</w:t>
      </w:r>
    </w:p>
    <w:p w:rsidR="006C79CC" w:rsidRPr="00192D8F" w:rsidRDefault="006C79C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3.2. Устранение существующих проблем обложения НДС имущественных прав</w:t>
      </w:r>
    </w:p>
    <w:p w:rsidR="00592EB6" w:rsidRPr="00192D8F" w:rsidRDefault="006C79CC" w:rsidP="00192D8F">
      <w:pPr>
        <w:spacing w:after="0" w:line="360" w:lineRule="auto"/>
        <w:ind w:firstLine="709"/>
        <w:jc w:val="both"/>
        <w:rPr>
          <w:rFonts w:ascii="Times New Roman" w:hAnsi="Times New Roman"/>
          <w:color w:val="000000" w:themeColor="text1"/>
          <w:sz w:val="24"/>
          <w:szCs w:val="24"/>
        </w:rPr>
      </w:pPr>
      <w:r w:rsidRPr="00192D8F">
        <w:rPr>
          <w:rFonts w:ascii="Times New Roman" w:eastAsia="Times New Roman" w:hAnsi="Times New Roman"/>
          <w:color w:val="000000" w:themeColor="text1"/>
          <w:sz w:val="24"/>
          <w:szCs w:val="24"/>
          <w:lang w:eastAsia="ru-RU"/>
        </w:rPr>
        <w:t>Вместе с тем, при отказе от полного освобождения, необходимо устранить ряд противоречий</w:t>
      </w:r>
      <w:r w:rsidRPr="00192D8F">
        <w:rPr>
          <w:rFonts w:ascii="Times New Roman" w:hAnsi="Times New Roman"/>
          <w:color w:val="000000" w:themeColor="text1"/>
          <w:sz w:val="24"/>
          <w:szCs w:val="24"/>
        </w:rPr>
        <w:t xml:space="preserve">. </w:t>
      </w:r>
    </w:p>
    <w:p w:rsidR="006C79CC" w:rsidRPr="00192D8F" w:rsidRDefault="006C79CC"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i/>
          <w:iCs/>
          <w:color w:val="000000" w:themeColor="text1"/>
          <w:sz w:val="24"/>
          <w:szCs w:val="24"/>
          <w:u w:val="single"/>
        </w:rPr>
        <w:t>Негативные экономические последствия в отношении цифровых прав, удостоверяющих денежные требования.</w:t>
      </w:r>
      <w:r w:rsidRPr="00192D8F">
        <w:rPr>
          <w:rFonts w:ascii="Times New Roman" w:hAnsi="Times New Roman"/>
          <w:color w:val="000000" w:themeColor="text1"/>
          <w:sz w:val="24"/>
          <w:szCs w:val="24"/>
        </w:rPr>
        <w:t xml:space="preserve"> Согласно буквальному толкованию п. 4 ст. 155 НК РФ налоговая база исчисляется не только при передаче, но и при приобретении </w:t>
      </w:r>
      <w:r w:rsidRPr="00192D8F">
        <w:rPr>
          <w:rFonts w:ascii="Times New Roman" w:hAnsi="Times New Roman"/>
          <w:color w:val="000000" w:themeColor="text1"/>
          <w:sz w:val="24"/>
          <w:szCs w:val="24"/>
          <w:u w:val="single"/>
        </w:rPr>
        <w:t>денежного</w:t>
      </w:r>
      <w:r w:rsidRPr="00192D8F">
        <w:rPr>
          <w:rFonts w:ascii="Times New Roman" w:hAnsi="Times New Roman"/>
          <w:color w:val="000000" w:themeColor="text1"/>
          <w:sz w:val="24"/>
          <w:szCs w:val="24"/>
        </w:rPr>
        <w:t xml:space="preserve"> требования, исходя из полученного цессионарием дохода. </w:t>
      </w:r>
    </w:p>
    <w:p w:rsidR="006C79CC" w:rsidRPr="00192D8F" w:rsidRDefault="006C79CC"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Иными словами, НДС возникает и при отчуждении права требования, и при его приобретении, когда сумма исполнения, полученного от должника, превышает сумму, истраченную цессионарием на приобретение такого права. Проще говоря, если какое-либо цифровое денежное требование номиналом в 1000 руб. будет приобретено за 800 рублей, а затем должник погасит полную сумму долга, то налогоплательщику придется исчислить и уплатить НДС с 200 рублей разницы.</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i/>
          <w:iCs/>
          <w:color w:val="000000" w:themeColor="text1"/>
          <w:sz w:val="24"/>
          <w:szCs w:val="24"/>
          <w:u w:val="single"/>
        </w:rPr>
        <w:t>Негативные последствия в отношении цифровых прав-опционов</w:t>
      </w:r>
      <w:r w:rsidRPr="00192D8F">
        <w:rPr>
          <w:rFonts w:ascii="Times New Roman" w:hAnsi="Times New Roman"/>
          <w:color w:val="000000" w:themeColor="text1"/>
          <w:sz w:val="24"/>
          <w:szCs w:val="24"/>
        </w:rPr>
        <w:t>. Если не вдаваться в нюансы гражданско-правовых конструкций, то в случаях опционов речь также идет о правах требования. Первое негативное явление, которое наблюдается в ситуации с опционом, — это позиция Министерства финансов</w:t>
      </w:r>
      <w:r w:rsidR="007C17CC" w:rsidRPr="00192D8F">
        <w:rPr>
          <w:rFonts w:ascii="Times New Roman" w:hAnsi="Times New Roman"/>
          <w:color w:val="000000" w:themeColor="text1"/>
          <w:sz w:val="24"/>
          <w:szCs w:val="24"/>
        </w:rPr>
        <w:t xml:space="preserve"> РФ</w:t>
      </w:r>
      <w:r w:rsidRPr="00192D8F">
        <w:rPr>
          <w:rFonts w:ascii="Times New Roman" w:hAnsi="Times New Roman"/>
          <w:color w:val="000000" w:themeColor="text1"/>
          <w:sz w:val="24"/>
          <w:szCs w:val="24"/>
        </w:rPr>
        <w:t xml:space="preserve">, согласно которой НДС должна облагаться плата за предоставление права (опционная премия) при непосредственном заключении опционной сделки (см. письма Минфина России от 21.12.2017 № 03-07-11/85423 и от 06.08.2018 № 03-07-11/55293). Сформулированный подход формально базируется на положениях гражданского права, но при внимательном рассмотрении — им же и противоречит. В упомянутых выше письмах ставится знак равенства между цессией </w:t>
      </w:r>
      <w:r w:rsidRPr="00192D8F">
        <w:rPr>
          <w:rFonts w:ascii="Times New Roman" w:hAnsi="Times New Roman"/>
          <w:color w:val="000000" w:themeColor="text1"/>
          <w:sz w:val="24"/>
          <w:szCs w:val="24"/>
        </w:rPr>
        <w:lastRenderedPageBreak/>
        <w:t xml:space="preserve">и опционом на право заключения договора и красной линией проходит мысль о том, что в обоих случаях мы имеем дело с передачей права. Между тем вполне очевидно, что при опционной сделке первичное право требования возникает, а не передается (при </w:t>
      </w:r>
      <w:r w:rsidRPr="00192D8F">
        <w:rPr>
          <w:rFonts w:ascii="Times New Roman" w:hAnsi="Times New Roman"/>
          <w:bCs/>
          <w:color w:val="000000" w:themeColor="text1"/>
          <w:sz w:val="24"/>
          <w:szCs w:val="24"/>
        </w:rPr>
        <w:t xml:space="preserve">противоположном подходе нам пришлось бы сделать абсурдное допущение, что сторона договора об опционе имеет право требования сама к себе и уступает его другой стороне). </w:t>
      </w:r>
    </w:p>
    <w:p w:rsidR="007C17CC" w:rsidRPr="00192D8F" w:rsidRDefault="006C79CC"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При последующей уступке права на заключение договора, возникшего у лица по опционному соглашению, придется уплатить НДС с полной стоимости уступаемого</w:t>
      </w:r>
      <w:r w:rsidRPr="00192D8F">
        <w:rPr>
          <w:rFonts w:ascii="Times New Roman" w:hAnsi="Times New Roman"/>
          <w:color w:val="000000" w:themeColor="text1"/>
          <w:sz w:val="24"/>
          <w:szCs w:val="24"/>
        </w:rPr>
        <w:t xml:space="preserve"> требования (а не с разницы между нею и опционной премией по основной сделке, как логично было бы подумать). И в этом случае дело вовсе не в разъяснениях Минфина или ФНС России, а в буквальном толковании нормы закона (п. 5 ст. 155 НК РФ).</w:t>
      </w:r>
    </w:p>
    <w:p w:rsidR="006C79CC" w:rsidRPr="00192D8F" w:rsidRDefault="006C79C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3.3. НДС в отношении краудфандинговых платформ</w:t>
      </w:r>
      <w:r w:rsidR="00D249F7" w:rsidRPr="00192D8F">
        <w:rPr>
          <w:rFonts w:ascii="Times New Roman" w:hAnsi="Times New Roman"/>
          <w:b/>
          <w:bCs/>
          <w:color w:val="000000" w:themeColor="text1"/>
          <w:sz w:val="24"/>
          <w:szCs w:val="24"/>
        </w:rPr>
        <w:t xml:space="preserve">, </w:t>
      </w:r>
      <w:r w:rsidR="00A54AC6" w:rsidRPr="00192D8F">
        <w:rPr>
          <w:rFonts w:ascii="Times New Roman" w:hAnsi="Times New Roman"/>
          <w:b/>
          <w:color w:val="000000" w:themeColor="text1"/>
          <w:sz w:val="24"/>
          <w:szCs w:val="24"/>
        </w:rPr>
        <w:t>операторов по обмену цифровых финансовых активов</w:t>
      </w:r>
    </w:p>
    <w:p w:rsidR="00A54AC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 учетом недавно принятого закона «о краудфандинге»</w:t>
      </w:r>
      <w:r w:rsidR="00A54AC6" w:rsidRPr="00192D8F">
        <w:rPr>
          <w:rFonts w:ascii="Times New Roman" w:hAnsi="Times New Roman"/>
          <w:bCs/>
          <w:color w:val="000000" w:themeColor="text1"/>
          <w:sz w:val="24"/>
          <w:szCs w:val="24"/>
        </w:rPr>
        <w:t xml:space="preserve">, а также проектом закона о ЦФА Комиссия, а также члены дискуссии считают </w:t>
      </w:r>
      <w:r w:rsidRPr="00192D8F">
        <w:rPr>
          <w:rFonts w:ascii="Times New Roman" w:hAnsi="Times New Roman"/>
          <w:bCs/>
          <w:color w:val="000000" w:themeColor="text1"/>
          <w:sz w:val="24"/>
          <w:szCs w:val="24"/>
        </w:rPr>
        <w:t>целесообразным освобождение услуг крауд</w:t>
      </w:r>
      <w:r w:rsidR="009B0899" w:rsidRPr="00192D8F">
        <w:rPr>
          <w:rFonts w:ascii="Times New Roman" w:hAnsi="Times New Roman"/>
          <w:bCs/>
          <w:color w:val="000000" w:themeColor="text1"/>
          <w:sz w:val="24"/>
          <w:szCs w:val="24"/>
        </w:rPr>
        <w:t xml:space="preserve">фандинговых </w:t>
      </w:r>
      <w:r w:rsidRPr="00192D8F">
        <w:rPr>
          <w:rFonts w:ascii="Times New Roman" w:hAnsi="Times New Roman"/>
          <w:bCs/>
          <w:color w:val="000000" w:themeColor="text1"/>
          <w:sz w:val="24"/>
          <w:szCs w:val="24"/>
        </w:rPr>
        <w:t xml:space="preserve">платформыпо организации привлечения инвестиций </w:t>
      </w:r>
      <w:r w:rsidR="00A54AC6" w:rsidRPr="00192D8F">
        <w:rPr>
          <w:rFonts w:ascii="Times New Roman" w:hAnsi="Times New Roman"/>
          <w:bCs/>
          <w:color w:val="000000" w:themeColor="text1"/>
          <w:sz w:val="24"/>
          <w:szCs w:val="24"/>
        </w:rPr>
        <w:t xml:space="preserve">и операторов по обмену цифровых финансовых активов </w:t>
      </w:r>
      <w:r w:rsidRPr="00192D8F">
        <w:rPr>
          <w:rFonts w:ascii="Times New Roman" w:hAnsi="Times New Roman"/>
          <w:bCs/>
          <w:color w:val="000000" w:themeColor="text1"/>
          <w:sz w:val="24"/>
          <w:szCs w:val="24"/>
        </w:rPr>
        <w:t xml:space="preserve">от НДС по </w:t>
      </w:r>
      <w:r w:rsidR="00A54AC6" w:rsidRPr="00192D8F">
        <w:rPr>
          <w:rFonts w:ascii="Times New Roman" w:hAnsi="Times New Roman"/>
          <w:bCs/>
          <w:color w:val="000000" w:themeColor="text1"/>
          <w:sz w:val="24"/>
          <w:szCs w:val="24"/>
        </w:rPr>
        <w:t xml:space="preserve">аналогии с </w:t>
      </w:r>
      <w:r w:rsidRPr="00192D8F">
        <w:rPr>
          <w:rFonts w:ascii="Times New Roman" w:hAnsi="Times New Roman"/>
          <w:bCs/>
          <w:color w:val="000000" w:themeColor="text1"/>
          <w:sz w:val="24"/>
          <w:szCs w:val="24"/>
        </w:rPr>
        <w:t>банковски</w:t>
      </w:r>
      <w:r w:rsidR="00A54AC6" w:rsidRPr="00192D8F">
        <w:rPr>
          <w:rFonts w:ascii="Times New Roman" w:hAnsi="Times New Roman"/>
          <w:bCs/>
          <w:color w:val="000000" w:themeColor="text1"/>
          <w:sz w:val="24"/>
          <w:szCs w:val="24"/>
        </w:rPr>
        <w:t>ми</w:t>
      </w:r>
      <w:r w:rsidRPr="00192D8F">
        <w:rPr>
          <w:rFonts w:ascii="Times New Roman" w:hAnsi="Times New Roman"/>
          <w:bCs/>
          <w:color w:val="000000" w:themeColor="text1"/>
          <w:sz w:val="24"/>
          <w:szCs w:val="24"/>
        </w:rPr>
        <w:t xml:space="preserve"> услуг</w:t>
      </w:r>
      <w:r w:rsidR="00A54AC6" w:rsidRPr="00192D8F">
        <w:rPr>
          <w:rFonts w:ascii="Times New Roman" w:hAnsi="Times New Roman"/>
          <w:bCs/>
          <w:color w:val="000000" w:themeColor="text1"/>
          <w:sz w:val="24"/>
          <w:szCs w:val="24"/>
        </w:rPr>
        <w:t>ами</w:t>
      </w:r>
      <w:r w:rsidRPr="00192D8F">
        <w:rPr>
          <w:rFonts w:ascii="Times New Roman" w:hAnsi="Times New Roman"/>
          <w:bCs/>
          <w:color w:val="000000" w:themeColor="text1"/>
          <w:sz w:val="24"/>
          <w:szCs w:val="24"/>
        </w:rPr>
        <w:t xml:space="preserve"> и услуг</w:t>
      </w:r>
      <w:r w:rsidR="00A54AC6" w:rsidRPr="00192D8F">
        <w:rPr>
          <w:rFonts w:ascii="Times New Roman" w:hAnsi="Times New Roman"/>
          <w:bCs/>
          <w:color w:val="000000" w:themeColor="text1"/>
          <w:sz w:val="24"/>
          <w:szCs w:val="24"/>
        </w:rPr>
        <w:t>ами</w:t>
      </w:r>
      <w:r w:rsidRPr="00192D8F">
        <w:rPr>
          <w:rFonts w:ascii="Times New Roman" w:hAnsi="Times New Roman"/>
          <w:bCs/>
          <w:color w:val="000000" w:themeColor="text1"/>
          <w:sz w:val="24"/>
          <w:szCs w:val="24"/>
        </w:rPr>
        <w:t xml:space="preserve"> профучастников рынка ценных бумаг.</w:t>
      </w:r>
    </w:p>
    <w:p w:rsidR="006C79CC" w:rsidRPr="00192D8F" w:rsidRDefault="00592EB6" w:rsidP="00192D8F">
      <w:pPr>
        <w:spacing w:before="240" w:after="240" w:line="360" w:lineRule="auto"/>
        <w:ind w:firstLine="709"/>
        <w:jc w:val="center"/>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4. НАЛОГ НА ПРИБЫЛЬ</w:t>
      </w:r>
    </w:p>
    <w:p w:rsidR="006C79CC" w:rsidRPr="00192D8F" w:rsidRDefault="006C79C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4.1. Применение специальных правил статьи 279 НК РФ</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 НК РФ законодателем предусмотрена статья 279: «Особенности определения налоговой базы при уступке (переуступке) права требования».</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Согласно пункту 2 статьи 1 проекта закона о ЦФА цифровыми финансовыми активами признаются цифровые права, включающие обязательственные и иные права.</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Общеизвестно, что обязательственные права синонимичны «правам требования».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Несмотря на очевидность названия статьи 279 НК РФ возникает вопрос о ее применимости к обороту цифровых прав. Наиболее остро – о пункте 3 названной статьи. </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Довлеющей является точка зрения о том, что статьи 279 НК РФ применяется только в отношении:</w:t>
      </w:r>
    </w:p>
    <w:p w:rsidR="00592EB6" w:rsidRPr="00192D8F" w:rsidRDefault="00592EB6"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 xml:space="preserve">- </w:t>
      </w:r>
      <w:r w:rsidR="006C79CC" w:rsidRPr="00192D8F">
        <w:rPr>
          <w:rFonts w:ascii="Times New Roman" w:hAnsi="Times New Roman"/>
          <w:color w:val="000000" w:themeColor="text1"/>
          <w:sz w:val="24"/>
          <w:szCs w:val="24"/>
        </w:rPr>
        <w:t>прав требования (денежного) долга, вытекающего из договора поставки;</w:t>
      </w:r>
    </w:p>
    <w:p w:rsidR="006C79CC" w:rsidRPr="00192D8F" w:rsidRDefault="00592EB6"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 </w:t>
      </w:r>
      <w:r w:rsidR="006C79CC" w:rsidRPr="00192D8F">
        <w:rPr>
          <w:rFonts w:ascii="Times New Roman" w:hAnsi="Times New Roman"/>
          <w:color w:val="000000" w:themeColor="text1"/>
          <w:sz w:val="24"/>
          <w:szCs w:val="24"/>
        </w:rPr>
        <w:t>налогоплательщику-кредитору по долговому обязательству.</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Вместе с тем, в одном из своих разъяснений Минфин России допускает применение </w:t>
      </w:r>
      <w:hyperlink r:id="rId11" w:history="1">
        <w:r w:rsidRPr="00192D8F">
          <w:rPr>
            <w:rFonts w:ascii="Times New Roman" w:hAnsi="Times New Roman"/>
            <w:bCs/>
            <w:color w:val="000000" w:themeColor="text1"/>
            <w:sz w:val="24"/>
            <w:szCs w:val="24"/>
          </w:rPr>
          <w:t>п. 3 ст. 279</w:t>
        </w:r>
      </w:hyperlink>
      <w:r w:rsidRPr="00192D8F">
        <w:rPr>
          <w:rFonts w:ascii="Times New Roman" w:hAnsi="Times New Roman"/>
          <w:bCs/>
          <w:color w:val="000000" w:themeColor="text1"/>
          <w:sz w:val="24"/>
          <w:szCs w:val="24"/>
        </w:rPr>
        <w:t xml:space="preserve"> НК РФ к договору уступки </w:t>
      </w:r>
      <w:r w:rsidR="00503DB1" w:rsidRPr="00192D8F">
        <w:rPr>
          <w:rFonts w:ascii="Times New Roman" w:hAnsi="Times New Roman"/>
          <w:bCs/>
          <w:color w:val="000000" w:themeColor="text1"/>
          <w:sz w:val="24"/>
          <w:szCs w:val="24"/>
        </w:rPr>
        <w:t>не денежного</w:t>
      </w:r>
      <w:r w:rsidRPr="00192D8F">
        <w:rPr>
          <w:rFonts w:ascii="Times New Roman" w:hAnsi="Times New Roman"/>
          <w:bCs/>
          <w:color w:val="000000" w:themeColor="text1"/>
          <w:sz w:val="24"/>
          <w:szCs w:val="24"/>
        </w:rPr>
        <w:t xml:space="preserve"> требования (</w:t>
      </w:r>
      <w:hyperlink r:id="rId12" w:history="1">
        <w:r w:rsidRPr="00192D8F">
          <w:rPr>
            <w:rFonts w:ascii="Times New Roman" w:hAnsi="Times New Roman"/>
            <w:bCs/>
            <w:color w:val="000000" w:themeColor="text1"/>
            <w:sz w:val="24"/>
            <w:szCs w:val="24"/>
          </w:rPr>
          <w:t>Письмо</w:t>
        </w:r>
      </w:hyperlink>
      <w:r w:rsidRPr="00192D8F">
        <w:rPr>
          <w:rFonts w:ascii="Times New Roman" w:hAnsi="Times New Roman"/>
          <w:bCs/>
          <w:color w:val="000000" w:themeColor="text1"/>
          <w:sz w:val="24"/>
          <w:szCs w:val="24"/>
        </w:rPr>
        <w:t xml:space="preserve"> от 22.04.2011 </w:t>
      </w:r>
      <w:r w:rsidR="00EF1DBF" w:rsidRPr="00192D8F">
        <w:rPr>
          <w:rFonts w:ascii="Times New Roman" w:hAnsi="Times New Roman"/>
          <w:bCs/>
          <w:color w:val="000000" w:themeColor="text1"/>
          <w:sz w:val="24"/>
          <w:szCs w:val="24"/>
        </w:rPr>
        <w:t>№</w:t>
      </w:r>
      <w:r w:rsidRPr="00192D8F">
        <w:rPr>
          <w:rFonts w:ascii="Times New Roman" w:hAnsi="Times New Roman"/>
          <w:bCs/>
          <w:color w:val="000000" w:themeColor="text1"/>
          <w:sz w:val="24"/>
          <w:szCs w:val="24"/>
        </w:rPr>
        <w:t>03-11-06/2/64).</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 xml:space="preserve"> В противовес</w:t>
      </w:r>
      <w:r w:rsidR="007C17CC" w:rsidRPr="00192D8F">
        <w:rPr>
          <w:rFonts w:ascii="Times New Roman" w:hAnsi="Times New Roman"/>
          <w:bCs/>
          <w:color w:val="000000" w:themeColor="text1"/>
          <w:sz w:val="24"/>
          <w:szCs w:val="24"/>
        </w:rPr>
        <w:t>, например,</w:t>
      </w:r>
      <w:r w:rsidRPr="00192D8F">
        <w:rPr>
          <w:rFonts w:ascii="Times New Roman" w:hAnsi="Times New Roman"/>
          <w:bCs/>
          <w:color w:val="000000" w:themeColor="text1"/>
          <w:sz w:val="24"/>
          <w:szCs w:val="24"/>
        </w:rPr>
        <w:t xml:space="preserve"> в Постановлении Тринадцатого арбитражного апелляционного суда от 30.08.2010 по делу № А42-8149/2008 указывается, что </w:t>
      </w:r>
      <w:hyperlink r:id="rId13" w:history="1">
        <w:r w:rsidRPr="00192D8F">
          <w:rPr>
            <w:rFonts w:ascii="Times New Roman" w:hAnsi="Times New Roman"/>
            <w:bCs/>
            <w:color w:val="000000" w:themeColor="text1"/>
            <w:sz w:val="24"/>
            <w:szCs w:val="24"/>
          </w:rPr>
          <w:t>статья</w:t>
        </w:r>
      </w:hyperlink>
      <w:r w:rsidRPr="00192D8F">
        <w:rPr>
          <w:rFonts w:ascii="Times New Roman" w:hAnsi="Times New Roman"/>
          <w:bCs/>
          <w:color w:val="000000" w:themeColor="text1"/>
          <w:sz w:val="24"/>
          <w:szCs w:val="24"/>
        </w:rPr>
        <w:t xml:space="preserve"> 279 НК РФ устанавливает особенности определения налоговой базы при реализации имущественных прав, вытекающих из договора реализации товаров (работ, услуг). Однако эти правила неприменимы по отношению к признанию расходов по имущественным правам, не связанным с договором о реализации товаров (работ, услуг). В связи с этим суд считает, что в данном случае следует руководствоваться общими правилами признания расходов при реализации имущественных прав, предусмотренными </w:t>
      </w:r>
      <w:hyperlink r:id="rId14" w:history="1">
        <w:r w:rsidRPr="00192D8F">
          <w:rPr>
            <w:rFonts w:ascii="Times New Roman" w:hAnsi="Times New Roman"/>
            <w:bCs/>
            <w:color w:val="000000" w:themeColor="text1"/>
            <w:sz w:val="24"/>
            <w:szCs w:val="24"/>
          </w:rPr>
          <w:t>статьями 252</w:t>
        </w:r>
      </w:hyperlink>
      <w:r w:rsidRPr="00192D8F">
        <w:rPr>
          <w:rFonts w:ascii="Times New Roman" w:hAnsi="Times New Roman"/>
          <w:bCs/>
          <w:color w:val="000000" w:themeColor="text1"/>
          <w:sz w:val="24"/>
          <w:szCs w:val="24"/>
        </w:rPr>
        <w:t xml:space="preserve">, </w:t>
      </w:r>
      <w:hyperlink r:id="rId15" w:history="1">
        <w:r w:rsidRPr="00192D8F">
          <w:rPr>
            <w:rFonts w:ascii="Times New Roman" w:hAnsi="Times New Roman"/>
            <w:bCs/>
            <w:color w:val="000000" w:themeColor="text1"/>
            <w:sz w:val="24"/>
            <w:szCs w:val="24"/>
          </w:rPr>
          <w:t>253</w:t>
        </w:r>
      </w:hyperlink>
      <w:r w:rsidRPr="00192D8F">
        <w:rPr>
          <w:rFonts w:ascii="Times New Roman" w:hAnsi="Times New Roman"/>
          <w:bCs/>
          <w:color w:val="000000" w:themeColor="text1"/>
          <w:sz w:val="24"/>
          <w:szCs w:val="24"/>
        </w:rPr>
        <w:t xml:space="preserve">, </w:t>
      </w:r>
      <w:hyperlink r:id="rId16" w:history="1">
        <w:r w:rsidRPr="00192D8F">
          <w:rPr>
            <w:rFonts w:ascii="Times New Roman" w:hAnsi="Times New Roman"/>
            <w:bCs/>
            <w:color w:val="000000" w:themeColor="text1"/>
            <w:sz w:val="24"/>
            <w:szCs w:val="24"/>
          </w:rPr>
          <w:t>268</w:t>
        </w:r>
      </w:hyperlink>
      <w:r w:rsidRPr="00192D8F">
        <w:rPr>
          <w:rFonts w:ascii="Times New Roman" w:hAnsi="Times New Roman"/>
          <w:bCs/>
          <w:color w:val="000000" w:themeColor="text1"/>
          <w:sz w:val="24"/>
          <w:szCs w:val="24"/>
        </w:rPr>
        <w:t xml:space="preserve"> НК РФ.</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Если законодатель примет решение распространить регулирование пункта 3 статьи 279 НК РФ на операции с цифровыми правами, целесообразным представляется:</w:t>
      </w:r>
    </w:p>
    <w:p w:rsidR="00592EB6" w:rsidRPr="00192D8F" w:rsidRDefault="00592EB6"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 xml:space="preserve">- </w:t>
      </w:r>
      <w:r w:rsidR="006C79CC" w:rsidRPr="00192D8F">
        <w:rPr>
          <w:rFonts w:ascii="Times New Roman" w:hAnsi="Times New Roman"/>
          <w:color w:val="000000" w:themeColor="text1"/>
          <w:sz w:val="24"/>
          <w:szCs w:val="24"/>
        </w:rPr>
        <w:t xml:space="preserve">В первом абзаце пункта 1, в пунктах 2,3,4 статьи 279 после слов «права требования» исключить слово </w:t>
      </w:r>
      <w:r w:rsidR="006C79CC" w:rsidRPr="00192D8F">
        <w:rPr>
          <w:rFonts w:ascii="Times New Roman" w:hAnsi="Times New Roman"/>
          <w:i/>
          <w:iCs/>
          <w:color w:val="000000" w:themeColor="text1"/>
          <w:sz w:val="24"/>
          <w:szCs w:val="24"/>
        </w:rPr>
        <w:t>«долга»</w:t>
      </w:r>
      <w:r w:rsidR="006C79CC" w:rsidRPr="00192D8F">
        <w:rPr>
          <w:rFonts w:ascii="Times New Roman" w:hAnsi="Times New Roman"/>
          <w:color w:val="000000" w:themeColor="text1"/>
          <w:sz w:val="24"/>
          <w:szCs w:val="24"/>
        </w:rPr>
        <w:t>;</w:t>
      </w:r>
    </w:p>
    <w:p w:rsidR="00EF1DBF" w:rsidRPr="00192D8F" w:rsidRDefault="00592EB6" w:rsidP="00192D8F">
      <w:pPr>
        <w:spacing w:after="0" w:line="360" w:lineRule="auto"/>
        <w:ind w:firstLine="709"/>
        <w:jc w:val="both"/>
        <w:rPr>
          <w:rFonts w:ascii="Times New Roman" w:hAnsi="Times New Roman"/>
          <w:b/>
          <w:bCs/>
          <w:color w:val="000000" w:themeColor="text1"/>
          <w:sz w:val="24"/>
          <w:szCs w:val="24"/>
        </w:rPr>
      </w:pPr>
      <w:r w:rsidRPr="00192D8F">
        <w:rPr>
          <w:rFonts w:ascii="Times New Roman" w:hAnsi="Times New Roman"/>
          <w:color w:val="000000" w:themeColor="text1"/>
          <w:sz w:val="24"/>
          <w:szCs w:val="24"/>
        </w:rPr>
        <w:t xml:space="preserve">- </w:t>
      </w:r>
      <w:r w:rsidR="006C79CC" w:rsidRPr="00192D8F">
        <w:rPr>
          <w:rFonts w:ascii="Times New Roman" w:hAnsi="Times New Roman"/>
          <w:color w:val="000000" w:themeColor="text1"/>
          <w:sz w:val="24"/>
          <w:szCs w:val="24"/>
        </w:rPr>
        <w:t xml:space="preserve">В пункте 3 после слова «налогоплательщиком» слово «купившим» заменить словом </w:t>
      </w:r>
      <w:r w:rsidR="006C79CC" w:rsidRPr="00192D8F">
        <w:rPr>
          <w:rFonts w:ascii="Times New Roman" w:hAnsi="Times New Roman"/>
          <w:i/>
          <w:iCs/>
          <w:color w:val="000000" w:themeColor="text1"/>
          <w:sz w:val="24"/>
          <w:szCs w:val="24"/>
        </w:rPr>
        <w:t>«получившим на возмездной основе»</w:t>
      </w:r>
      <w:r w:rsidR="006C79CC" w:rsidRPr="00192D8F">
        <w:rPr>
          <w:rFonts w:ascii="Times New Roman" w:hAnsi="Times New Roman"/>
          <w:color w:val="000000" w:themeColor="text1"/>
          <w:sz w:val="24"/>
          <w:szCs w:val="24"/>
        </w:rPr>
        <w:t>.</w:t>
      </w:r>
    </w:p>
    <w:p w:rsidR="00EF1DBF" w:rsidRPr="00192D8F" w:rsidRDefault="00EF1DBF"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4.2. Применение специальных правил статьи 280 НК РФ</w:t>
      </w:r>
    </w:p>
    <w:p w:rsidR="00EF1DBF" w:rsidRPr="00192D8F" w:rsidRDefault="00EF1DBF"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Проект федерального закона о краудфандинге - «О привлечении инвестиций с использованием инвестиционных платформ» (законопроект № 419090-7), принятый Государственной думой и одобренный Советом Федерации, предусматривает выпуск и оборот цифровых свидетельств – </w:t>
      </w:r>
      <w:r w:rsidR="00503DB1" w:rsidRPr="00192D8F">
        <w:rPr>
          <w:rFonts w:ascii="Times New Roman" w:hAnsi="Times New Roman"/>
          <w:bCs/>
          <w:color w:val="000000" w:themeColor="text1"/>
          <w:sz w:val="24"/>
          <w:szCs w:val="24"/>
        </w:rPr>
        <w:t>не эмиссионных</w:t>
      </w:r>
      <w:r w:rsidRPr="00192D8F">
        <w:rPr>
          <w:rFonts w:ascii="Times New Roman" w:hAnsi="Times New Roman"/>
          <w:bCs/>
          <w:color w:val="000000" w:themeColor="text1"/>
          <w:sz w:val="24"/>
          <w:szCs w:val="24"/>
        </w:rPr>
        <w:t xml:space="preserve"> бездокументарных ценных бумаг, не имеющих номинальной стоимости и удостоверяющих принадлежность ее владельцу утилитарного цифрового права (ст. 8 и ст. 9).</w:t>
      </w:r>
    </w:p>
    <w:p w:rsidR="0035715A" w:rsidRPr="00192D8F" w:rsidRDefault="00EF1DBF"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По общему правилу налогообложение операций с цифровыми свидетельствами</w:t>
      </w:r>
      <w:r w:rsidR="00200EED" w:rsidRPr="00192D8F">
        <w:rPr>
          <w:rFonts w:ascii="Times New Roman" w:hAnsi="Times New Roman"/>
          <w:bCs/>
          <w:color w:val="000000" w:themeColor="text1"/>
          <w:sz w:val="24"/>
          <w:szCs w:val="24"/>
        </w:rPr>
        <w:t xml:space="preserve"> (так как они прямо названы ценными бумагами)</w:t>
      </w:r>
      <w:r w:rsidRPr="00192D8F">
        <w:rPr>
          <w:rFonts w:ascii="Times New Roman" w:hAnsi="Times New Roman"/>
          <w:bCs/>
          <w:color w:val="000000" w:themeColor="text1"/>
          <w:sz w:val="24"/>
          <w:szCs w:val="24"/>
        </w:rPr>
        <w:t xml:space="preserve"> должно осуществляться с учетом особенностей налогообложения операций с ценными бумагами, установленных ст. 280 НК РФ. Однако </w:t>
      </w:r>
      <w:r w:rsidR="00200EED" w:rsidRPr="00192D8F">
        <w:rPr>
          <w:rFonts w:ascii="Times New Roman" w:hAnsi="Times New Roman"/>
          <w:bCs/>
          <w:color w:val="000000" w:themeColor="text1"/>
          <w:sz w:val="24"/>
          <w:szCs w:val="24"/>
        </w:rPr>
        <w:t xml:space="preserve">возможность практического применения ст. 280 НК </w:t>
      </w:r>
      <w:r w:rsidR="00503DB1" w:rsidRPr="00192D8F">
        <w:rPr>
          <w:rFonts w:ascii="Times New Roman" w:hAnsi="Times New Roman"/>
          <w:bCs/>
          <w:color w:val="000000" w:themeColor="text1"/>
          <w:sz w:val="24"/>
          <w:szCs w:val="24"/>
        </w:rPr>
        <w:t>РФ</w:t>
      </w:r>
      <w:r w:rsidR="00503DB1">
        <w:rPr>
          <w:rFonts w:ascii="Times New Roman" w:hAnsi="Times New Roman"/>
          <w:bCs/>
          <w:color w:val="000000" w:themeColor="text1"/>
          <w:sz w:val="24"/>
          <w:szCs w:val="24"/>
        </w:rPr>
        <w:t xml:space="preserve"> </w:t>
      </w:r>
      <w:r w:rsidR="00503DB1" w:rsidRPr="00192D8F">
        <w:rPr>
          <w:rFonts w:ascii="Times New Roman" w:hAnsi="Times New Roman"/>
          <w:bCs/>
          <w:color w:val="000000" w:themeColor="text1"/>
          <w:sz w:val="24"/>
          <w:szCs w:val="24"/>
        </w:rPr>
        <w:t>к</w:t>
      </w:r>
      <w:r w:rsidRPr="00192D8F">
        <w:rPr>
          <w:rFonts w:ascii="Times New Roman" w:hAnsi="Times New Roman"/>
          <w:bCs/>
          <w:color w:val="000000" w:themeColor="text1"/>
          <w:sz w:val="24"/>
          <w:szCs w:val="24"/>
        </w:rPr>
        <w:t xml:space="preserve"> цифровым свидетельствам (</w:t>
      </w:r>
      <w:r w:rsidR="00200EED" w:rsidRPr="00192D8F">
        <w:rPr>
          <w:rFonts w:ascii="Times New Roman" w:hAnsi="Times New Roman"/>
          <w:bCs/>
          <w:color w:val="000000" w:themeColor="text1"/>
          <w:sz w:val="24"/>
          <w:szCs w:val="24"/>
        </w:rPr>
        <w:t xml:space="preserve">порядок </w:t>
      </w:r>
      <w:r w:rsidRPr="00192D8F">
        <w:rPr>
          <w:rFonts w:ascii="Times New Roman" w:hAnsi="Times New Roman"/>
          <w:bCs/>
          <w:color w:val="000000" w:themeColor="text1"/>
          <w:sz w:val="24"/>
          <w:szCs w:val="24"/>
        </w:rPr>
        <w:t>определени</w:t>
      </w:r>
      <w:r w:rsidR="00200EED" w:rsidRPr="00192D8F">
        <w:rPr>
          <w:rFonts w:ascii="Times New Roman" w:hAnsi="Times New Roman"/>
          <w:bCs/>
          <w:color w:val="000000" w:themeColor="text1"/>
          <w:sz w:val="24"/>
          <w:szCs w:val="24"/>
        </w:rPr>
        <w:t>я</w:t>
      </w:r>
      <w:r w:rsidRPr="00192D8F">
        <w:rPr>
          <w:rFonts w:ascii="Times New Roman" w:hAnsi="Times New Roman"/>
          <w:bCs/>
          <w:color w:val="000000" w:themeColor="text1"/>
          <w:sz w:val="24"/>
          <w:szCs w:val="24"/>
        </w:rPr>
        <w:t xml:space="preserve"> рыночной стоимости, предельное отклонение рыночной цены, и т.д.)</w:t>
      </w:r>
      <w:r w:rsidR="00200EED" w:rsidRPr="00192D8F">
        <w:rPr>
          <w:rFonts w:ascii="Times New Roman" w:hAnsi="Times New Roman"/>
          <w:bCs/>
          <w:color w:val="000000" w:themeColor="text1"/>
          <w:sz w:val="24"/>
          <w:szCs w:val="24"/>
        </w:rPr>
        <w:t xml:space="preserve"> остается дискуссионной</w:t>
      </w:r>
      <w:r w:rsidR="002A0039" w:rsidRPr="00192D8F">
        <w:rPr>
          <w:rFonts w:ascii="Times New Roman" w:hAnsi="Times New Roman"/>
          <w:bCs/>
          <w:color w:val="000000" w:themeColor="text1"/>
          <w:sz w:val="24"/>
          <w:szCs w:val="24"/>
        </w:rPr>
        <w:t xml:space="preserve"> темой</w:t>
      </w:r>
      <w:r w:rsidR="00200EED" w:rsidRPr="00192D8F">
        <w:rPr>
          <w:rFonts w:ascii="Times New Roman" w:hAnsi="Times New Roman"/>
          <w:bCs/>
          <w:color w:val="000000" w:themeColor="text1"/>
          <w:sz w:val="24"/>
          <w:szCs w:val="24"/>
        </w:rPr>
        <w:t xml:space="preserve">. </w:t>
      </w:r>
      <w:r w:rsidR="002A0039" w:rsidRPr="00192D8F">
        <w:rPr>
          <w:rFonts w:ascii="Times New Roman" w:hAnsi="Times New Roman"/>
          <w:bCs/>
          <w:color w:val="000000" w:themeColor="text1"/>
          <w:sz w:val="24"/>
          <w:szCs w:val="24"/>
        </w:rPr>
        <w:t>Комиссия и участники дискуссии полагают</w:t>
      </w:r>
      <w:r w:rsidR="00200EED" w:rsidRPr="00192D8F">
        <w:rPr>
          <w:rFonts w:ascii="Times New Roman" w:hAnsi="Times New Roman"/>
          <w:bCs/>
          <w:color w:val="000000" w:themeColor="text1"/>
          <w:sz w:val="24"/>
          <w:szCs w:val="24"/>
        </w:rPr>
        <w:t xml:space="preserve">, что данная статья в целом не приспособлена к специфике цифровых свидетельств. </w:t>
      </w:r>
    </w:p>
    <w:p w:rsidR="00592EB6" w:rsidRPr="00192D8F" w:rsidRDefault="00EF1DBF" w:rsidP="003A4E93">
      <w:pPr>
        <w:spacing w:after="0" w:line="360" w:lineRule="auto"/>
        <w:ind w:firstLine="709"/>
        <w:jc w:val="both"/>
        <w:rPr>
          <w:rFonts w:ascii="Times New Roman" w:hAnsi="Times New Roman"/>
          <w:b/>
          <w:bCs/>
          <w:color w:val="000000" w:themeColor="text1"/>
          <w:sz w:val="24"/>
          <w:szCs w:val="24"/>
        </w:rPr>
      </w:pPr>
      <w:r w:rsidRPr="00192D8F">
        <w:rPr>
          <w:rFonts w:ascii="Times New Roman" w:hAnsi="Times New Roman"/>
          <w:bCs/>
          <w:color w:val="000000" w:themeColor="text1"/>
          <w:sz w:val="24"/>
          <w:szCs w:val="24"/>
        </w:rPr>
        <w:t xml:space="preserve"> По этой причине </w:t>
      </w:r>
      <w:r w:rsidR="0035715A" w:rsidRPr="00192D8F">
        <w:rPr>
          <w:rFonts w:ascii="Times New Roman" w:hAnsi="Times New Roman"/>
          <w:bCs/>
          <w:color w:val="000000" w:themeColor="text1"/>
          <w:sz w:val="24"/>
          <w:szCs w:val="24"/>
        </w:rPr>
        <w:t>целесообразно</w:t>
      </w:r>
      <w:r w:rsidRPr="00192D8F">
        <w:rPr>
          <w:rFonts w:ascii="Times New Roman" w:hAnsi="Times New Roman"/>
          <w:bCs/>
          <w:color w:val="000000" w:themeColor="text1"/>
          <w:sz w:val="24"/>
          <w:szCs w:val="24"/>
        </w:rPr>
        <w:t xml:space="preserve"> внести в ч. 1 ст. 280 НК РФ</w:t>
      </w:r>
      <w:r w:rsidR="0035715A" w:rsidRPr="00192D8F">
        <w:rPr>
          <w:rFonts w:ascii="Times New Roman" w:hAnsi="Times New Roman"/>
          <w:bCs/>
          <w:color w:val="000000" w:themeColor="text1"/>
          <w:sz w:val="24"/>
          <w:szCs w:val="24"/>
        </w:rPr>
        <w:t xml:space="preserve"> положения, исключающие</w:t>
      </w:r>
      <w:r w:rsidRPr="00192D8F">
        <w:rPr>
          <w:rFonts w:ascii="Times New Roman" w:hAnsi="Times New Roman"/>
          <w:bCs/>
          <w:color w:val="000000" w:themeColor="text1"/>
          <w:sz w:val="24"/>
          <w:szCs w:val="24"/>
        </w:rPr>
        <w:t xml:space="preserve"> применение </w:t>
      </w:r>
      <w:r w:rsidR="00200EED" w:rsidRPr="00192D8F">
        <w:rPr>
          <w:rFonts w:ascii="Times New Roman" w:hAnsi="Times New Roman"/>
          <w:bCs/>
          <w:color w:val="000000" w:themeColor="text1"/>
          <w:sz w:val="24"/>
          <w:szCs w:val="24"/>
        </w:rPr>
        <w:t>данной</w:t>
      </w:r>
      <w:r w:rsidRPr="00192D8F">
        <w:rPr>
          <w:rFonts w:ascii="Times New Roman" w:hAnsi="Times New Roman"/>
          <w:bCs/>
          <w:color w:val="000000" w:themeColor="text1"/>
          <w:sz w:val="24"/>
          <w:szCs w:val="24"/>
        </w:rPr>
        <w:t xml:space="preserve"> нормы к </w:t>
      </w:r>
      <w:r w:rsidR="00200EED" w:rsidRPr="00192D8F">
        <w:rPr>
          <w:rFonts w:ascii="Times New Roman" w:hAnsi="Times New Roman"/>
          <w:bCs/>
          <w:color w:val="000000" w:themeColor="text1"/>
          <w:sz w:val="24"/>
          <w:szCs w:val="24"/>
        </w:rPr>
        <w:t xml:space="preserve">цифровым свидетельствам (и/или к цифровым правам в целом), либо осуществить существенную доработку формулировок данной статьи. </w:t>
      </w:r>
    </w:p>
    <w:p w:rsidR="006C79CC" w:rsidRPr="00192D8F" w:rsidRDefault="00EC68F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4.3</w:t>
      </w:r>
      <w:r w:rsidR="006C79CC" w:rsidRPr="00192D8F">
        <w:rPr>
          <w:rFonts w:ascii="Times New Roman" w:hAnsi="Times New Roman"/>
          <w:b/>
          <w:bCs/>
          <w:color w:val="000000" w:themeColor="text1"/>
          <w:sz w:val="24"/>
          <w:szCs w:val="24"/>
        </w:rPr>
        <w:t>. Безвозмездное получение цифровых прав</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Согласно п. 8 ст. 250 НК РФ одним из видов внереализационных доходов является безвозмездно полученное имущество (работы, услуги) или имущественные права, за исключением случаев, указанных в ст. 251 НК РФ.</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Эта же норма устанавливает порядок оценки имущества (работ, услуг) - исходя из рыночных цен, определяемых с учетом положений статьи 105.3 НК РФ.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 текущей редакции п. 8 ст. 250 НК РФ отсутствует порядок оценки имущественных прав, включая цифровые права.</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Контролирующие органы указывают, что доход в виде безвозмездно полученных прав также должен определяться, исходя из рыночных цен (см., например, Письмо Минфина России от 17.02.2016 № 03-03-06/1/8746). Установленный пунктом 8 статьи 250 НК РФ принцип определения дохода при безвозмездном получении имущества, заключающийся в его оценке исходя из рыночных цен, определяемых с учетом положений статьи 105.3 НК РФ, подлежит применению и при оценке имущественного права (Письмо ФНС России от 20.03.2015 № ГД-4-3/4430@).</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Согласны с таким подходом и суды, на что указывает, например, Постановление ФАС Дальневосточного округа от 25.12.2013 № Ф03-6063/2013 по делу № А51-1805/2013. В данном деле судьи определили рыночную цену на основании отчета оценщика.</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Проведение ТЦО-исследования согласно методам главы V.1 НК РФ и/или путем привлечения независимого оценщика является относительно длительным и затратным мероприятием. При этом мир криптовалют характеризуется достаточно высокой скоростью транзакций</w:t>
      </w:r>
      <w:r w:rsidR="00BC7453" w:rsidRPr="00192D8F">
        <w:rPr>
          <w:rFonts w:ascii="Times New Roman" w:hAnsi="Times New Roman"/>
          <w:bCs/>
          <w:color w:val="000000" w:themeColor="text1"/>
          <w:sz w:val="24"/>
          <w:szCs w:val="24"/>
        </w:rPr>
        <w:t>.</w:t>
      </w:r>
    </w:p>
    <w:p w:rsidR="003A4E93"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Следовательно, целесообразно рассмотреть вопрос о подтверждении рыночных цен на безвозмездно получаемые цифровые права с учетом рекомендаций, изложенных в пункте 2.3. настоящего Заключения. </w:t>
      </w:r>
      <w:r w:rsidR="00BC7453" w:rsidRPr="00192D8F">
        <w:rPr>
          <w:rFonts w:ascii="Times New Roman" w:hAnsi="Times New Roman"/>
          <w:bCs/>
          <w:color w:val="000000" w:themeColor="text1"/>
          <w:sz w:val="24"/>
          <w:szCs w:val="24"/>
        </w:rPr>
        <w:t xml:space="preserve">При этом, в случае контролируемых сделок, использование кросс-курса может послужить индикативом для </w:t>
      </w:r>
      <w:r w:rsidR="00835FC3" w:rsidRPr="00192D8F">
        <w:rPr>
          <w:rFonts w:ascii="Times New Roman" w:hAnsi="Times New Roman"/>
          <w:bCs/>
          <w:color w:val="000000" w:themeColor="text1"/>
          <w:sz w:val="24"/>
          <w:szCs w:val="24"/>
        </w:rPr>
        <w:t xml:space="preserve">выбора оптимального </w:t>
      </w:r>
      <w:r w:rsidR="00BC7453" w:rsidRPr="00192D8F">
        <w:rPr>
          <w:rFonts w:ascii="Times New Roman" w:hAnsi="Times New Roman"/>
          <w:bCs/>
          <w:color w:val="000000" w:themeColor="text1"/>
          <w:sz w:val="24"/>
          <w:szCs w:val="24"/>
        </w:rPr>
        <w:t xml:space="preserve">метода </w:t>
      </w:r>
      <w:r w:rsidR="00835FC3" w:rsidRPr="00192D8F">
        <w:rPr>
          <w:rFonts w:ascii="Times New Roman" w:hAnsi="Times New Roman"/>
          <w:bCs/>
          <w:color w:val="000000" w:themeColor="text1"/>
          <w:sz w:val="24"/>
          <w:szCs w:val="24"/>
        </w:rPr>
        <w:t>определения рыночной цены</w:t>
      </w:r>
      <w:r w:rsidR="00BC7453" w:rsidRPr="00192D8F">
        <w:rPr>
          <w:rFonts w:ascii="Times New Roman" w:hAnsi="Times New Roman"/>
          <w:bCs/>
          <w:color w:val="000000" w:themeColor="text1"/>
          <w:sz w:val="24"/>
          <w:szCs w:val="24"/>
        </w:rPr>
        <w:t>.</w:t>
      </w:r>
    </w:p>
    <w:p w:rsidR="00A850E8" w:rsidRPr="00192D8F" w:rsidRDefault="00A850E8" w:rsidP="00192D8F">
      <w:pPr>
        <w:spacing w:after="0" w:line="360" w:lineRule="auto"/>
        <w:ind w:firstLine="709"/>
        <w:jc w:val="both"/>
        <w:rPr>
          <w:rFonts w:ascii="Times New Roman" w:hAnsi="Times New Roman"/>
          <w:bCs/>
          <w:color w:val="000000" w:themeColor="text1"/>
          <w:sz w:val="24"/>
          <w:szCs w:val="24"/>
        </w:rPr>
      </w:pPr>
    </w:p>
    <w:p w:rsidR="006C79CC" w:rsidRPr="00192D8F" w:rsidRDefault="00EC68F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4.4</w:t>
      </w:r>
      <w:r w:rsidR="006C79CC" w:rsidRPr="00192D8F">
        <w:rPr>
          <w:rFonts w:ascii="Times New Roman" w:hAnsi="Times New Roman"/>
          <w:b/>
          <w:bCs/>
          <w:color w:val="000000" w:themeColor="text1"/>
          <w:sz w:val="24"/>
          <w:szCs w:val="24"/>
        </w:rPr>
        <w:t>. Расходы при упрощенной системе налогообложения (УСН 15%)</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Согласно ст. 346.16 НК РФ при применении УСН с объектом «доходы – расходы» доходы могут уменьшаться на расходы по закрытому перечню, указанному в этой статье. При операциях с цифровыми правами многие предприниматели могут получить доход от отчуждения таких прав, однако не смогут учесть расходы на их приобретение.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lastRenderedPageBreak/>
        <w:t>По этой причине имеет экономический смысл принятие в качестве расходов стоимости приобретенных цифровых прав, для чего необходимо их включение в пп. 23 п. 1 ст. 346.16 НК РФ в качестве специального вида расходов.</w:t>
      </w:r>
    </w:p>
    <w:p w:rsidR="005532D5" w:rsidRPr="00192D8F" w:rsidRDefault="005532D5"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 xml:space="preserve">Относительно упрощенной системы налогообложения также целесообразно заметить следующее. Проект федерального закона «О краудфандинге» ограничивает размер инвестиций физического лица суммой в 600 тысяч рублей в календарный год. Ограничение не распространяется на квалифицированных инвесторов по смыслу законодательства о ценных бумагах и индивидуальных предпринимателей. Это означает, что лица, систематически инвестирующие на инвестплатформах, могут быть заинтересованы в приобретении </w:t>
      </w:r>
      <w:r w:rsidR="00A850E8" w:rsidRPr="00192D8F">
        <w:rPr>
          <w:rFonts w:ascii="Times New Roman" w:hAnsi="Times New Roman"/>
          <w:bCs/>
          <w:color w:val="000000" w:themeColor="text1"/>
          <w:sz w:val="24"/>
          <w:szCs w:val="24"/>
        </w:rPr>
        <w:t>статуса индивидуального</w:t>
      </w:r>
      <w:r w:rsidRPr="00192D8F">
        <w:rPr>
          <w:rFonts w:ascii="Times New Roman" w:hAnsi="Times New Roman"/>
          <w:bCs/>
          <w:color w:val="000000" w:themeColor="text1"/>
          <w:sz w:val="24"/>
          <w:szCs w:val="24"/>
        </w:rPr>
        <w:t xml:space="preserve"> предпринимателя, которым позволительно применять упрощенную систему налогообложения, если они соответствуют критериям главы 26.2 НК РФ.</w:t>
      </w:r>
    </w:p>
    <w:p w:rsidR="006C79CC" w:rsidRPr="00192D8F" w:rsidRDefault="00592EB6" w:rsidP="00192D8F">
      <w:pPr>
        <w:spacing w:before="240" w:after="240" w:line="360" w:lineRule="auto"/>
        <w:ind w:firstLine="709"/>
        <w:jc w:val="center"/>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5. НАЛОГ НА ДОХОДЫ ФИЗИЧЕСКИХ ЛИЦ</w:t>
      </w:r>
    </w:p>
    <w:p w:rsidR="006C79CC" w:rsidRPr="00192D8F" w:rsidRDefault="006C79C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5.1. Приравнивание доходов от цифровых прав к доходам, получаемым в натуральной форме</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Принимая во внимание позитивистский подход к праву в целом в нашей стране целесообразно прямо отнести доходы от операций с цифровыми правами к доходам в натуральной форме (ст. 211 НК РФ).</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Исходя из тенденций правоприменительная практики на уровне ВС РФ</w:t>
      </w:r>
      <w:r w:rsidR="00151EE1" w:rsidRPr="00192D8F">
        <w:rPr>
          <w:rStyle w:val="a5"/>
          <w:rFonts w:ascii="Times New Roman" w:hAnsi="Times New Roman"/>
          <w:bCs/>
          <w:color w:val="000000" w:themeColor="text1"/>
          <w:sz w:val="24"/>
          <w:szCs w:val="24"/>
        </w:rPr>
        <w:footnoteReference w:id="20"/>
      </w:r>
      <w:r w:rsidRPr="00192D8F">
        <w:rPr>
          <w:rFonts w:ascii="Times New Roman" w:hAnsi="Times New Roman"/>
          <w:bCs/>
          <w:color w:val="000000" w:themeColor="text1"/>
          <w:sz w:val="24"/>
          <w:szCs w:val="24"/>
        </w:rPr>
        <w:t>, доходы от операций с имущественными правами с учетом положений статьи 41 НК РФ должны облагаться НДФЛ.</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Перечень доходов в натуральной форме является открытым, что прямо следует из пункта 2 статьи 211 НК РФ, и подтверждается, например, Письмом Минфина РФ 06.12.2018 № 03-04-07/88812.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Более того, с 2019 года вступили в силу поправки в подпункт 1.1 названной статьи, которые в определенных ситуациях признают доходом в натуральной форме полученные налогоплательщиком имущественные права, и полученные права требования с частичной оплатой и безвозмездно.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С учетом вышеизложенного экономическая выгода от операций с цифровыми правами будет подлежать обложению НДФЛ. Однако обычным гражданам будет гораздо удобнее и понятнее, если таковая обязанность будет прямо закреплена в законе. </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результате предлагается дополнить: </w:t>
      </w:r>
    </w:p>
    <w:p w:rsidR="00592EB6" w:rsidRPr="00192D8F" w:rsidRDefault="00592EB6" w:rsidP="00192D8F">
      <w:pPr>
        <w:spacing w:after="0" w:line="360" w:lineRule="auto"/>
        <w:ind w:firstLine="709"/>
        <w:jc w:val="both"/>
        <w:rPr>
          <w:rFonts w:ascii="Times New Roman" w:eastAsia="Times New Roman" w:hAnsi="Times New Roman"/>
          <w:i/>
          <w:iCs/>
          <w:color w:val="000000" w:themeColor="text1"/>
          <w:sz w:val="24"/>
          <w:szCs w:val="24"/>
          <w:lang w:eastAsia="ru-RU"/>
        </w:rPr>
      </w:pPr>
      <w:r w:rsidRPr="00192D8F">
        <w:rPr>
          <w:rFonts w:ascii="Times New Roman" w:hAnsi="Times New Roman"/>
          <w:bCs/>
          <w:color w:val="000000" w:themeColor="text1"/>
          <w:sz w:val="24"/>
          <w:szCs w:val="24"/>
        </w:rPr>
        <w:lastRenderedPageBreak/>
        <w:t xml:space="preserve">1. </w:t>
      </w:r>
      <w:r w:rsidR="006C79CC" w:rsidRPr="00192D8F">
        <w:rPr>
          <w:rFonts w:ascii="Times New Roman" w:eastAsia="Times New Roman" w:hAnsi="Times New Roman"/>
          <w:color w:val="000000" w:themeColor="text1"/>
          <w:sz w:val="24"/>
          <w:szCs w:val="24"/>
          <w:lang w:eastAsia="ru-RU"/>
        </w:rPr>
        <w:t xml:space="preserve">Статью 211 НК РФ подпунктом 1.2. в следующей редакции: </w:t>
      </w:r>
      <w:r w:rsidR="006C79CC" w:rsidRPr="00192D8F">
        <w:rPr>
          <w:rFonts w:ascii="Times New Roman" w:eastAsia="Times New Roman" w:hAnsi="Times New Roman"/>
          <w:i/>
          <w:iCs/>
          <w:color w:val="000000" w:themeColor="text1"/>
          <w:sz w:val="24"/>
          <w:szCs w:val="24"/>
          <w:lang w:eastAsia="ru-RU"/>
        </w:rPr>
        <w:t>«полученные налогоплательщиком цифровые права безвозмездно или с частичной оплатой, а также иные доходы от операций с цифровыми финансовыми активами».</w:t>
      </w:r>
    </w:p>
    <w:p w:rsidR="00592EB6" w:rsidRPr="00192D8F" w:rsidRDefault="00592EB6" w:rsidP="00192D8F">
      <w:pPr>
        <w:spacing w:after="0" w:line="360" w:lineRule="auto"/>
        <w:ind w:firstLine="709"/>
        <w:jc w:val="both"/>
        <w:rPr>
          <w:rFonts w:ascii="Times New Roman" w:hAnsi="Times New Roman"/>
          <w:i/>
          <w:iCs/>
          <w:color w:val="000000" w:themeColor="text1"/>
          <w:sz w:val="24"/>
          <w:szCs w:val="24"/>
        </w:rPr>
      </w:pPr>
      <w:r w:rsidRPr="00192D8F">
        <w:rPr>
          <w:rFonts w:ascii="Times New Roman" w:hAnsi="Times New Roman"/>
          <w:color w:val="000000" w:themeColor="text1"/>
          <w:sz w:val="24"/>
          <w:szCs w:val="24"/>
        </w:rPr>
        <w:t xml:space="preserve">2. </w:t>
      </w:r>
      <w:r w:rsidR="006C79CC" w:rsidRPr="00192D8F">
        <w:rPr>
          <w:rFonts w:ascii="Times New Roman" w:hAnsi="Times New Roman"/>
          <w:color w:val="000000" w:themeColor="text1"/>
          <w:sz w:val="24"/>
          <w:szCs w:val="24"/>
        </w:rPr>
        <w:t xml:space="preserve">Подпункт 2 пункта 2 статьи 220 НК РФ после слов «связанных с приобретением этого имущества» словами </w:t>
      </w:r>
      <w:r w:rsidR="006C79CC" w:rsidRPr="00192D8F">
        <w:rPr>
          <w:rFonts w:ascii="Times New Roman" w:hAnsi="Times New Roman"/>
          <w:i/>
          <w:iCs/>
          <w:color w:val="000000" w:themeColor="text1"/>
          <w:sz w:val="24"/>
          <w:szCs w:val="24"/>
        </w:rPr>
        <w:t>«включая цифровые права».</w:t>
      </w:r>
    </w:p>
    <w:p w:rsidR="00592EB6" w:rsidRPr="00192D8F" w:rsidRDefault="00592EB6"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3. </w:t>
      </w:r>
      <w:r w:rsidR="006C79CC" w:rsidRPr="00192D8F">
        <w:rPr>
          <w:rFonts w:ascii="Times New Roman" w:hAnsi="Times New Roman"/>
          <w:color w:val="000000" w:themeColor="text1"/>
          <w:sz w:val="24"/>
          <w:szCs w:val="24"/>
        </w:rPr>
        <w:t xml:space="preserve">Второй абзац подпункта 2 пункта 2 статьи 220 НК РФ после слов «(по договору инвестирования или по другому договору, связанному с долевым строительством)» дополнить словами </w:t>
      </w:r>
      <w:r w:rsidR="006C79CC" w:rsidRPr="00192D8F">
        <w:rPr>
          <w:rFonts w:ascii="Times New Roman" w:hAnsi="Times New Roman"/>
          <w:i/>
          <w:iCs/>
          <w:color w:val="000000" w:themeColor="text1"/>
          <w:sz w:val="24"/>
          <w:szCs w:val="24"/>
        </w:rPr>
        <w:t>«а также при отчуждении цифровых прав».</w:t>
      </w:r>
    </w:p>
    <w:p w:rsidR="006C79CC" w:rsidRPr="00192D8F" w:rsidRDefault="00592EB6" w:rsidP="00192D8F">
      <w:pPr>
        <w:spacing w:after="0" w:line="360" w:lineRule="auto"/>
        <w:ind w:firstLine="709"/>
        <w:jc w:val="both"/>
        <w:rPr>
          <w:rFonts w:ascii="Times New Roman" w:eastAsia="Times New Roman" w:hAnsi="Times New Roman"/>
          <w:color w:val="000000" w:themeColor="text1"/>
          <w:sz w:val="24"/>
          <w:szCs w:val="24"/>
          <w:lang w:eastAsia="ru-RU"/>
        </w:rPr>
      </w:pPr>
      <w:r w:rsidRPr="00192D8F">
        <w:rPr>
          <w:rFonts w:ascii="Times New Roman" w:hAnsi="Times New Roman"/>
          <w:color w:val="000000" w:themeColor="text1"/>
          <w:sz w:val="24"/>
          <w:szCs w:val="24"/>
        </w:rPr>
        <w:t xml:space="preserve">4. </w:t>
      </w:r>
      <w:r w:rsidR="006C79CC" w:rsidRPr="00192D8F">
        <w:rPr>
          <w:rFonts w:ascii="Times New Roman" w:hAnsi="Times New Roman"/>
          <w:color w:val="000000" w:themeColor="text1"/>
          <w:sz w:val="24"/>
          <w:szCs w:val="24"/>
        </w:rPr>
        <w:t xml:space="preserve">Подпункт 1 статьи 221 НК РФ абзацем следующего содержания: </w:t>
      </w:r>
      <w:r w:rsidR="006C79CC" w:rsidRPr="00192D8F">
        <w:rPr>
          <w:rFonts w:ascii="Times New Roman" w:hAnsi="Times New Roman"/>
          <w:i/>
          <w:iCs/>
          <w:color w:val="000000" w:themeColor="text1"/>
          <w:sz w:val="24"/>
          <w:szCs w:val="24"/>
        </w:rPr>
        <w:t>«Расходы физических лиц, указанных в пункте 1 статьи 227 настоящего Кодекса от деятельности по созданию, приобретению, реализации цифровых финансовых активов (включая обмен на иные цифровые финансовые активы) учитываются при налогообложении доходов, полученных от осуществления предпринимательской деятельности».</w:t>
      </w:r>
    </w:p>
    <w:p w:rsidR="006C79CC" w:rsidRPr="00192D8F" w:rsidRDefault="006C79CC" w:rsidP="00192D8F">
      <w:pPr>
        <w:spacing w:before="240" w:after="240" w:line="360" w:lineRule="auto"/>
        <w:ind w:firstLine="709"/>
        <w:jc w:val="both"/>
        <w:rPr>
          <w:rFonts w:ascii="Times New Roman" w:eastAsia="Times New Roman" w:hAnsi="Times New Roman"/>
          <w:color w:val="000000" w:themeColor="text1"/>
          <w:sz w:val="24"/>
          <w:szCs w:val="24"/>
          <w:lang w:eastAsia="ru-RU"/>
        </w:rPr>
      </w:pPr>
      <w:r w:rsidRPr="00192D8F">
        <w:rPr>
          <w:rFonts w:ascii="Times New Roman" w:eastAsia="Times New Roman" w:hAnsi="Times New Roman"/>
          <w:b/>
          <w:bCs/>
          <w:color w:val="000000" w:themeColor="text1"/>
          <w:sz w:val="24"/>
          <w:szCs w:val="24"/>
          <w:lang w:eastAsia="ru-RU"/>
        </w:rPr>
        <w:t xml:space="preserve">5.2. Освобождение от НДФЛ </w:t>
      </w:r>
    </w:p>
    <w:p w:rsidR="006C79CC" w:rsidRPr="00192D8F" w:rsidRDefault="006C79CC" w:rsidP="00192D8F">
      <w:pPr>
        <w:spacing w:after="0" w:line="360" w:lineRule="auto"/>
        <w:ind w:firstLine="709"/>
        <w:jc w:val="both"/>
        <w:rPr>
          <w:rFonts w:ascii="Times New Roman" w:eastAsia="Times New Roman" w:hAnsi="Times New Roman"/>
          <w:color w:val="000000" w:themeColor="text1"/>
          <w:sz w:val="24"/>
          <w:szCs w:val="24"/>
          <w:lang w:eastAsia="ru-RU"/>
        </w:rPr>
      </w:pPr>
      <w:r w:rsidRPr="00192D8F">
        <w:rPr>
          <w:rFonts w:ascii="Times New Roman" w:eastAsia="Times New Roman" w:hAnsi="Times New Roman"/>
          <w:color w:val="000000" w:themeColor="text1"/>
          <w:sz w:val="24"/>
          <w:szCs w:val="24"/>
          <w:lang w:eastAsia="ru-RU"/>
        </w:rPr>
        <w:t xml:space="preserve">Также целесообразно распространить льготу «за давностью владения» на криптоактивы, дополнив пп. 17.1. ст. 217 НК РФ упоминанием </w:t>
      </w:r>
      <w:r w:rsidRPr="00192D8F">
        <w:rPr>
          <w:rFonts w:ascii="Times New Roman" w:eastAsia="Times New Roman" w:hAnsi="Times New Roman"/>
          <w:i/>
          <w:iCs/>
          <w:color w:val="000000" w:themeColor="text1"/>
          <w:sz w:val="24"/>
          <w:szCs w:val="24"/>
          <w:lang w:eastAsia="ru-RU"/>
        </w:rPr>
        <w:t>«цифровых прав, находившихся во владении налогоплательщика один год и более».</w:t>
      </w:r>
    </w:p>
    <w:p w:rsidR="006C79CC" w:rsidRPr="00192D8F" w:rsidRDefault="006C79CC" w:rsidP="00192D8F">
      <w:pPr>
        <w:spacing w:before="240" w:after="24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 xml:space="preserve">5.3. Придание статуса налогового агента </w:t>
      </w:r>
      <w:r w:rsidR="00151EE1" w:rsidRPr="00192D8F">
        <w:rPr>
          <w:rFonts w:ascii="Times New Roman" w:hAnsi="Times New Roman"/>
          <w:b/>
          <w:bCs/>
          <w:color w:val="000000" w:themeColor="text1"/>
          <w:sz w:val="24"/>
          <w:szCs w:val="24"/>
        </w:rPr>
        <w:t>краудфандинговых платформ</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Законопроект </w:t>
      </w:r>
      <w:r w:rsidR="00BC7B04" w:rsidRPr="00192D8F">
        <w:rPr>
          <w:rFonts w:ascii="Times New Roman" w:hAnsi="Times New Roman"/>
          <w:bCs/>
          <w:color w:val="000000" w:themeColor="text1"/>
          <w:sz w:val="24"/>
          <w:szCs w:val="24"/>
        </w:rPr>
        <w:t xml:space="preserve">«О привлечении инвестиций с использованием инвестиционных платформ» </w:t>
      </w:r>
      <w:r w:rsidRPr="00192D8F">
        <w:rPr>
          <w:rFonts w:ascii="Times New Roman" w:hAnsi="Times New Roman"/>
          <w:bCs/>
          <w:color w:val="000000" w:themeColor="text1"/>
          <w:sz w:val="24"/>
          <w:szCs w:val="24"/>
        </w:rPr>
        <w:t>предусматривает правила выпуска и обращения утилитарных цифровых прав – «токенов».</w:t>
      </w:r>
    </w:p>
    <w:p w:rsidR="007D7068" w:rsidRDefault="006C79CC" w:rsidP="003A4E93">
      <w:pPr>
        <w:spacing w:after="0" w:line="360" w:lineRule="auto"/>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Можно предположить, что правила обращения цифровых активов в законопроекте о краудфандинге и законопроекте о ЦФА не будут противоречить друг-другу. Это позволяет вывести следующие правила выпуска цифровых активов в </w:t>
      </w:r>
      <w:r w:rsidR="00151EE1" w:rsidRPr="00192D8F">
        <w:rPr>
          <w:rFonts w:ascii="Times New Roman" w:hAnsi="Times New Roman"/>
          <w:bCs/>
          <w:color w:val="000000" w:themeColor="text1"/>
          <w:sz w:val="24"/>
          <w:szCs w:val="24"/>
        </w:rPr>
        <w:t>РФ</w:t>
      </w:r>
      <w:r w:rsidRPr="00192D8F">
        <w:rPr>
          <w:rFonts w:ascii="Times New Roman" w:hAnsi="Times New Roman"/>
          <w:bCs/>
          <w:color w:val="000000" w:themeColor="text1"/>
          <w:sz w:val="24"/>
          <w:szCs w:val="24"/>
        </w:rPr>
        <w:t>:</w:t>
      </w:r>
    </w:p>
    <w:p w:rsidR="00592EB6" w:rsidRPr="00192D8F" w:rsidRDefault="00592EB6" w:rsidP="00192D8F">
      <w:pPr>
        <w:spacing w:after="0" w:line="360" w:lineRule="auto"/>
        <w:ind w:firstLine="708"/>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 xml:space="preserve">1. </w:t>
      </w:r>
      <w:r w:rsidR="006C79CC" w:rsidRPr="00192D8F">
        <w:rPr>
          <w:rFonts w:ascii="Times New Roman" w:hAnsi="Times New Roman"/>
          <w:color w:val="000000" w:themeColor="text1"/>
          <w:sz w:val="24"/>
          <w:szCs w:val="24"/>
        </w:rPr>
        <w:t xml:space="preserve">Местом выпуска и обращения цифровых активов будут только специализированные площадки, которые должны соответствовать стандартным требованиям, например, к составу акционеров, менеджмента, и специальным требованиям, например, к размеру собственного капитала, к информационной системе. </w:t>
      </w:r>
    </w:p>
    <w:p w:rsidR="00592EB6" w:rsidRPr="00192D8F" w:rsidRDefault="00592EB6"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2. </w:t>
      </w:r>
      <w:r w:rsidR="006C79CC" w:rsidRPr="00192D8F">
        <w:rPr>
          <w:rFonts w:ascii="Times New Roman" w:hAnsi="Times New Roman"/>
          <w:color w:val="000000" w:themeColor="text1"/>
          <w:sz w:val="24"/>
          <w:szCs w:val="24"/>
        </w:rPr>
        <w:t>Учет токенов будет осуществляться в информационной системе площадки.</w:t>
      </w:r>
    </w:p>
    <w:p w:rsidR="006C79CC" w:rsidRPr="00192D8F" w:rsidRDefault="00592EB6"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3. </w:t>
      </w:r>
      <w:r w:rsidR="006C79CC" w:rsidRPr="00192D8F">
        <w:rPr>
          <w:rFonts w:ascii="Times New Roman" w:hAnsi="Times New Roman"/>
          <w:color w:val="000000" w:themeColor="text1"/>
          <w:sz w:val="24"/>
          <w:szCs w:val="24"/>
        </w:rPr>
        <w:t>Клиенты площадок (те, кто размещает цифровые активы, и те, кто формирует вторичный рынок таких активов) должны проходить процедуру идентификации по законодательству о ПОД /ФТ.</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Следующим шагом в направлении регулирования деятельности крауд</w:t>
      </w:r>
      <w:r w:rsidR="00A727F2" w:rsidRPr="00192D8F">
        <w:rPr>
          <w:rFonts w:ascii="Times New Roman" w:hAnsi="Times New Roman"/>
          <w:bCs/>
          <w:color w:val="000000" w:themeColor="text1"/>
          <w:sz w:val="24"/>
          <w:szCs w:val="24"/>
        </w:rPr>
        <w:t xml:space="preserve">фандинговых </w:t>
      </w:r>
      <w:r w:rsidRPr="00192D8F">
        <w:rPr>
          <w:rFonts w:ascii="Times New Roman" w:hAnsi="Times New Roman"/>
          <w:bCs/>
          <w:color w:val="000000" w:themeColor="text1"/>
          <w:sz w:val="24"/>
          <w:szCs w:val="24"/>
        </w:rPr>
        <w:t xml:space="preserve">платформ, которые уже получили исключительное право быть торговой площадкой для цифровых активов, могут стать изменения в </w:t>
      </w:r>
      <w:r w:rsidR="00A727F2" w:rsidRPr="00192D8F">
        <w:rPr>
          <w:rFonts w:ascii="Times New Roman" w:hAnsi="Times New Roman"/>
          <w:bCs/>
          <w:color w:val="000000" w:themeColor="text1"/>
          <w:sz w:val="24"/>
          <w:szCs w:val="24"/>
        </w:rPr>
        <w:t>НК</w:t>
      </w:r>
      <w:r w:rsidRPr="00192D8F">
        <w:rPr>
          <w:rFonts w:ascii="Times New Roman" w:hAnsi="Times New Roman"/>
          <w:bCs/>
          <w:color w:val="000000" w:themeColor="text1"/>
          <w:sz w:val="24"/>
          <w:szCs w:val="24"/>
        </w:rPr>
        <w:t xml:space="preserve"> РФ. </w:t>
      </w:r>
    </w:p>
    <w:p w:rsidR="00592EB6"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По проведенным Фондом развития интернет-инициатив опросам многие участники крауд</w:t>
      </w:r>
      <w:r w:rsidR="00A727F2" w:rsidRPr="00192D8F">
        <w:rPr>
          <w:rFonts w:ascii="Times New Roman" w:hAnsi="Times New Roman"/>
          <w:bCs/>
          <w:color w:val="000000" w:themeColor="text1"/>
          <w:sz w:val="24"/>
          <w:szCs w:val="24"/>
        </w:rPr>
        <w:t xml:space="preserve">фандингового </w:t>
      </w:r>
      <w:r w:rsidRPr="00192D8F">
        <w:rPr>
          <w:rFonts w:ascii="Times New Roman" w:hAnsi="Times New Roman"/>
          <w:bCs/>
          <w:color w:val="000000" w:themeColor="text1"/>
          <w:sz w:val="24"/>
          <w:szCs w:val="24"/>
        </w:rPr>
        <w:t>рынка выступают за выполнение крауд</w:t>
      </w:r>
      <w:r w:rsidR="00A727F2" w:rsidRPr="00192D8F">
        <w:rPr>
          <w:rFonts w:ascii="Times New Roman" w:hAnsi="Times New Roman"/>
          <w:bCs/>
          <w:color w:val="000000" w:themeColor="text1"/>
          <w:sz w:val="24"/>
          <w:szCs w:val="24"/>
        </w:rPr>
        <w:t xml:space="preserve">фандинговыми </w:t>
      </w:r>
      <w:r w:rsidRPr="00192D8F">
        <w:rPr>
          <w:rFonts w:ascii="Times New Roman" w:hAnsi="Times New Roman"/>
          <w:bCs/>
          <w:color w:val="000000" w:themeColor="text1"/>
          <w:sz w:val="24"/>
          <w:szCs w:val="24"/>
        </w:rPr>
        <w:t>площадками функций налогового агента по НДФЛ. Это предложение со значительной вероятностью будет отражено и в новой редакции Федерального проекта «Нормативное регулирование цифровой среды» (см. пункт 1.15 раздела 3 «Задачи и результаты федерального проекта» в предыдущей редакции). Новая редакция была рассмотрена 04.06.2019 на Заседании президиума Совета при Президенте Российской Федерации по стратегическому развитию и национальным проектам.</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Реализация крауд</w:t>
      </w:r>
      <w:r w:rsidR="00A727F2" w:rsidRPr="00192D8F">
        <w:rPr>
          <w:rFonts w:ascii="Times New Roman" w:hAnsi="Times New Roman"/>
          <w:bCs/>
          <w:color w:val="000000" w:themeColor="text1"/>
          <w:sz w:val="24"/>
          <w:szCs w:val="24"/>
        </w:rPr>
        <w:t xml:space="preserve">фандинговой </w:t>
      </w:r>
      <w:r w:rsidRPr="00192D8F">
        <w:rPr>
          <w:rFonts w:ascii="Times New Roman" w:hAnsi="Times New Roman"/>
          <w:bCs/>
          <w:color w:val="000000" w:themeColor="text1"/>
          <w:sz w:val="24"/>
          <w:szCs w:val="24"/>
        </w:rPr>
        <w:t xml:space="preserve">платформой (и другими площадками, на которых будет осуществляться оборот цифровых активов) функций налогового агента в отношении доходов от операций с цифровыми активами может осуществляться по моторике, установленной статьей 226.1 НК РФ в отношении операций с ценными бумагами (что потребует внесения существенных терминологических правок), либо принятия отдельной профильной статьи 226.2 НК РФ.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Бенефициары предлагаемых изменений: государство за счет упрощения администрирования НДФЛ от операций с цифровыми активами, физические лица – инвесторы в цифровые активы за счет того, что обязанности налогоплательщика выполняет налоговый агент. </w:t>
      </w:r>
    </w:p>
    <w:p w:rsidR="006C79CC" w:rsidRPr="00192D8F" w:rsidRDefault="006C79CC" w:rsidP="00192D8F">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bCs/>
          <w:color w:val="000000" w:themeColor="text1"/>
          <w:sz w:val="24"/>
          <w:szCs w:val="24"/>
        </w:rPr>
        <w:t>При этом необходимо учитывать интересы и самих крауд</w:t>
      </w:r>
      <w:r w:rsidR="00A727F2" w:rsidRPr="00192D8F">
        <w:rPr>
          <w:rFonts w:ascii="Times New Roman" w:hAnsi="Times New Roman"/>
          <w:bCs/>
          <w:color w:val="000000" w:themeColor="text1"/>
          <w:sz w:val="24"/>
          <w:szCs w:val="24"/>
        </w:rPr>
        <w:t xml:space="preserve">фандинговых </w:t>
      </w:r>
      <w:r w:rsidRPr="00192D8F">
        <w:rPr>
          <w:rFonts w:ascii="Times New Roman" w:hAnsi="Times New Roman"/>
          <w:bCs/>
          <w:color w:val="000000" w:themeColor="text1"/>
          <w:sz w:val="24"/>
          <w:szCs w:val="24"/>
        </w:rPr>
        <w:t>площадок</w:t>
      </w:r>
      <w:r w:rsidR="00D249F7" w:rsidRPr="00192D8F">
        <w:rPr>
          <w:rFonts w:ascii="Times New Roman" w:hAnsi="Times New Roman"/>
          <w:bCs/>
          <w:color w:val="000000" w:themeColor="text1"/>
          <w:sz w:val="24"/>
          <w:szCs w:val="24"/>
        </w:rPr>
        <w:t xml:space="preserve"> (в особенности иностранных)</w:t>
      </w:r>
      <w:r w:rsidRPr="00192D8F">
        <w:rPr>
          <w:rFonts w:ascii="Times New Roman" w:hAnsi="Times New Roman"/>
          <w:bCs/>
          <w:color w:val="000000" w:themeColor="text1"/>
          <w:sz w:val="24"/>
          <w:szCs w:val="24"/>
        </w:rPr>
        <w:t xml:space="preserve">, так как на них неминуемо ляжет колоссальная нагрузка по исчислению, удержанию и перечислению в бюджет сумм НДФЛ. </w:t>
      </w:r>
      <w:r w:rsidR="00D249F7" w:rsidRPr="00192D8F">
        <w:rPr>
          <w:rFonts w:ascii="Times New Roman" w:hAnsi="Times New Roman"/>
          <w:bCs/>
          <w:color w:val="000000" w:themeColor="text1"/>
          <w:sz w:val="24"/>
          <w:szCs w:val="24"/>
        </w:rPr>
        <w:t>Полагаем, что данный вопрос следует дополнительно проработать с профессиональными участниками рынка.</w:t>
      </w:r>
    </w:p>
    <w:p w:rsidR="006C79CC" w:rsidRPr="00192D8F" w:rsidRDefault="00592EB6" w:rsidP="00192D8F">
      <w:pPr>
        <w:spacing w:before="240" w:after="240" w:line="360" w:lineRule="auto"/>
        <w:ind w:firstLine="709"/>
        <w:jc w:val="center"/>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6. ПРЕДЛОЖЕНИЯ ОТНОСИТЕЛЬНО НАЛОГООБЛОЖЕНИЯ МИКРО-МАЙНЕРОВ</w:t>
      </w:r>
    </w:p>
    <w:p w:rsidR="00BC7B04" w:rsidRPr="00192D8F" w:rsidRDefault="00BC7B04"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Комиссия считает целесообразным применение дифференцированных подходов к разрешению вопросов налогообложения промышленных майнеров и микро-майнеров, при этом </w:t>
      </w:r>
      <w:r w:rsidR="00F33CCD" w:rsidRPr="00192D8F">
        <w:rPr>
          <w:rFonts w:ascii="Times New Roman" w:hAnsi="Times New Roman"/>
          <w:bCs/>
          <w:color w:val="000000" w:themeColor="text1"/>
          <w:sz w:val="24"/>
          <w:szCs w:val="24"/>
        </w:rPr>
        <w:t>поддерживая</w:t>
      </w:r>
      <w:r w:rsidRPr="00192D8F">
        <w:rPr>
          <w:rFonts w:ascii="Times New Roman" w:hAnsi="Times New Roman"/>
          <w:bCs/>
          <w:color w:val="000000" w:themeColor="text1"/>
          <w:sz w:val="24"/>
          <w:szCs w:val="24"/>
        </w:rPr>
        <w:t xml:space="preserve"> универсальн</w:t>
      </w:r>
      <w:r w:rsidR="00F33CCD" w:rsidRPr="00192D8F">
        <w:rPr>
          <w:rFonts w:ascii="Times New Roman" w:hAnsi="Times New Roman"/>
          <w:bCs/>
          <w:color w:val="000000" w:themeColor="text1"/>
          <w:sz w:val="24"/>
          <w:szCs w:val="24"/>
        </w:rPr>
        <w:t>ый</w:t>
      </w:r>
      <w:r w:rsidRPr="00192D8F">
        <w:rPr>
          <w:rFonts w:ascii="Times New Roman" w:hAnsi="Times New Roman"/>
          <w:bCs/>
          <w:color w:val="000000" w:themeColor="text1"/>
          <w:sz w:val="24"/>
          <w:szCs w:val="24"/>
        </w:rPr>
        <w:t xml:space="preserve"> понятийн</w:t>
      </w:r>
      <w:r w:rsidR="00F33CCD" w:rsidRPr="00192D8F">
        <w:rPr>
          <w:rFonts w:ascii="Times New Roman" w:hAnsi="Times New Roman"/>
          <w:bCs/>
          <w:color w:val="000000" w:themeColor="text1"/>
          <w:sz w:val="24"/>
          <w:szCs w:val="24"/>
        </w:rPr>
        <w:t>ый</w:t>
      </w:r>
      <w:r w:rsidRPr="00192D8F">
        <w:rPr>
          <w:rFonts w:ascii="Times New Roman" w:hAnsi="Times New Roman"/>
          <w:bCs/>
          <w:color w:val="000000" w:themeColor="text1"/>
          <w:sz w:val="24"/>
          <w:szCs w:val="24"/>
        </w:rPr>
        <w:t xml:space="preserve"> (терминологическ</w:t>
      </w:r>
      <w:r w:rsidR="00F33CCD" w:rsidRPr="00192D8F">
        <w:rPr>
          <w:rFonts w:ascii="Times New Roman" w:hAnsi="Times New Roman"/>
          <w:bCs/>
          <w:color w:val="000000" w:themeColor="text1"/>
          <w:sz w:val="24"/>
          <w:szCs w:val="24"/>
        </w:rPr>
        <w:t>ий</w:t>
      </w:r>
      <w:r w:rsidRPr="00192D8F">
        <w:rPr>
          <w:rFonts w:ascii="Times New Roman" w:hAnsi="Times New Roman"/>
          <w:bCs/>
          <w:color w:val="000000" w:themeColor="text1"/>
          <w:sz w:val="24"/>
          <w:szCs w:val="24"/>
        </w:rPr>
        <w:t>) аппарат, ориентированн</w:t>
      </w:r>
      <w:r w:rsidR="00F33CCD" w:rsidRPr="00192D8F">
        <w:rPr>
          <w:rFonts w:ascii="Times New Roman" w:hAnsi="Times New Roman"/>
          <w:bCs/>
          <w:color w:val="000000" w:themeColor="text1"/>
          <w:sz w:val="24"/>
          <w:szCs w:val="24"/>
        </w:rPr>
        <w:t>ый</w:t>
      </w:r>
      <w:r w:rsidRPr="00192D8F">
        <w:rPr>
          <w:rFonts w:ascii="Times New Roman" w:hAnsi="Times New Roman"/>
          <w:bCs/>
          <w:color w:val="000000" w:themeColor="text1"/>
          <w:sz w:val="24"/>
          <w:szCs w:val="24"/>
        </w:rPr>
        <w:t xml:space="preserve"> на рекомендации FATF. </w:t>
      </w:r>
    </w:p>
    <w:p w:rsidR="005949B1" w:rsidRPr="00192D8F" w:rsidRDefault="005949B1"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отношении «промышленного» майнинга рекомендуется рассмотреть возможность освободить от налогообложения майнинг, производимый в целях поддержания работоспособности сети. </w:t>
      </w:r>
    </w:p>
    <w:p w:rsidR="00C858B6" w:rsidRPr="00192D8F" w:rsidRDefault="005949B1"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При этом с</w:t>
      </w:r>
      <w:r w:rsidR="00BC7B04" w:rsidRPr="00192D8F">
        <w:rPr>
          <w:rFonts w:ascii="Times New Roman" w:hAnsi="Times New Roman"/>
          <w:bCs/>
          <w:color w:val="000000" w:themeColor="text1"/>
          <w:sz w:val="24"/>
          <w:szCs w:val="24"/>
        </w:rPr>
        <w:t xml:space="preserve"> учетом специфики </w:t>
      </w:r>
      <w:r w:rsidRPr="00192D8F">
        <w:rPr>
          <w:rFonts w:ascii="Times New Roman" w:hAnsi="Times New Roman"/>
          <w:bCs/>
          <w:color w:val="000000" w:themeColor="text1"/>
          <w:sz w:val="24"/>
          <w:szCs w:val="24"/>
        </w:rPr>
        <w:t>российских реалий</w:t>
      </w:r>
      <w:r w:rsidR="00BC7B04" w:rsidRPr="00192D8F">
        <w:rPr>
          <w:rFonts w:ascii="Times New Roman" w:hAnsi="Times New Roman"/>
          <w:bCs/>
          <w:color w:val="000000" w:themeColor="text1"/>
          <w:sz w:val="24"/>
          <w:szCs w:val="24"/>
        </w:rPr>
        <w:t xml:space="preserve">, когда существенная часть майнеров – </w:t>
      </w:r>
      <w:r w:rsidR="00F33CCD" w:rsidRPr="00192D8F">
        <w:rPr>
          <w:rFonts w:ascii="Times New Roman" w:hAnsi="Times New Roman"/>
          <w:bCs/>
          <w:color w:val="000000" w:themeColor="text1"/>
          <w:sz w:val="24"/>
          <w:szCs w:val="24"/>
        </w:rPr>
        <w:t>это энтузиасты</w:t>
      </w:r>
      <w:r w:rsidR="00BC7B04" w:rsidRPr="00192D8F">
        <w:rPr>
          <w:rFonts w:ascii="Times New Roman" w:hAnsi="Times New Roman"/>
          <w:bCs/>
          <w:color w:val="000000" w:themeColor="text1"/>
          <w:sz w:val="24"/>
          <w:szCs w:val="24"/>
        </w:rPr>
        <w:t xml:space="preserve"> микро-майнеры, </w:t>
      </w:r>
      <w:r w:rsidRPr="00192D8F">
        <w:rPr>
          <w:rFonts w:ascii="Times New Roman" w:hAnsi="Times New Roman"/>
          <w:bCs/>
          <w:color w:val="000000" w:themeColor="text1"/>
          <w:sz w:val="24"/>
          <w:szCs w:val="24"/>
        </w:rPr>
        <w:t>Комиссия считает на начальном этапе</w:t>
      </w:r>
      <w:r w:rsidR="00BC7B04" w:rsidRPr="00192D8F">
        <w:rPr>
          <w:rFonts w:ascii="Times New Roman" w:hAnsi="Times New Roman"/>
          <w:bCs/>
          <w:color w:val="000000" w:themeColor="text1"/>
          <w:sz w:val="24"/>
          <w:szCs w:val="24"/>
        </w:rPr>
        <w:t xml:space="preserve"> наиболее актуальным решение вопросов налогообложения именно </w:t>
      </w:r>
      <w:r w:rsidRPr="00192D8F">
        <w:rPr>
          <w:rFonts w:ascii="Times New Roman" w:hAnsi="Times New Roman"/>
          <w:bCs/>
          <w:color w:val="000000" w:themeColor="text1"/>
          <w:sz w:val="24"/>
          <w:szCs w:val="24"/>
        </w:rPr>
        <w:t>этого сегмента</w:t>
      </w:r>
      <w:r w:rsidR="00BC7B04" w:rsidRPr="00192D8F">
        <w:rPr>
          <w:rFonts w:ascii="Times New Roman" w:hAnsi="Times New Roman"/>
          <w:bCs/>
          <w:color w:val="000000" w:themeColor="text1"/>
          <w:sz w:val="24"/>
          <w:szCs w:val="24"/>
        </w:rPr>
        <w:t xml:space="preserve">. </w:t>
      </w:r>
    </w:p>
    <w:p w:rsidR="006C79CC" w:rsidRPr="00192D8F" w:rsidRDefault="00C858B6"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В этой </w:t>
      </w:r>
      <w:r w:rsidR="00F33CCD" w:rsidRPr="00192D8F">
        <w:rPr>
          <w:rFonts w:ascii="Times New Roman" w:hAnsi="Times New Roman"/>
          <w:bCs/>
          <w:color w:val="000000" w:themeColor="text1"/>
          <w:sz w:val="24"/>
          <w:szCs w:val="24"/>
        </w:rPr>
        <w:t>связи предлагается</w:t>
      </w:r>
      <w:r w:rsidR="006C79CC" w:rsidRPr="00192D8F">
        <w:rPr>
          <w:rFonts w:ascii="Times New Roman" w:hAnsi="Times New Roman"/>
          <w:bCs/>
          <w:color w:val="000000" w:themeColor="text1"/>
          <w:sz w:val="24"/>
          <w:szCs w:val="24"/>
        </w:rPr>
        <w:t xml:space="preserve"> распространить патентную систему налогообложения (ПСН) на майнеров-индивидуальных предпринимателей.</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 xml:space="preserve">Для использования льготного режима майнеру-ИП необходимо будет пройти аккредитацию в Министерстве цифрового развития, для чего можно задействовать инфраструктуру, которая в настоящий момент применятся для предоставления льгот по страховым взносам для IT компаний. </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Вместе с тем майнер должен будет указать конкретные реквизиты своего кошелька для получения преференций, что позволит налоговым органам контролировать предельный размер дохода, предусмотренный ПСН. Он не должен превышать 60 млн. руб. по всем видам деятельности, в отношении которых применяется ПСН (пп. 1 п. 6, а также п. 9 ст. 346.45 НК РФ). Коэффициент-дефлятор, применяемый для целей главы 26.5 НК РФ «Патентная система налогообложения» на 2019 год установлен Приказом Минэкономразвития России от 30.10.2018 № 595 в размере 1,518. Данный уровень следует признать приемлемым для развития микро-майнерства в РФ.</w:t>
      </w:r>
    </w:p>
    <w:p w:rsidR="006C79CC" w:rsidRPr="00192D8F" w:rsidRDefault="006C79CC" w:rsidP="00192D8F">
      <w:pPr>
        <w:spacing w:after="0" w:line="360" w:lineRule="auto"/>
        <w:ind w:firstLine="709"/>
        <w:jc w:val="both"/>
        <w:rPr>
          <w:rFonts w:ascii="Times New Roman" w:hAnsi="Times New Roman"/>
          <w:bCs/>
          <w:color w:val="000000" w:themeColor="text1"/>
          <w:sz w:val="24"/>
          <w:szCs w:val="24"/>
        </w:rPr>
      </w:pPr>
      <w:r w:rsidRPr="00192D8F">
        <w:rPr>
          <w:rFonts w:ascii="Times New Roman" w:hAnsi="Times New Roman"/>
          <w:bCs/>
          <w:color w:val="000000" w:themeColor="text1"/>
          <w:sz w:val="24"/>
          <w:szCs w:val="24"/>
        </w:rPr>
        <w:t>Для реализации инициативы предлагается дополнить пункт 2 статьи 346.43 подпунктом 64 следующего содержания:</w:t>
      </w:r>
    </w:p>
    <w:p w:rsidR="0073233D" w:rsidRPr="00192D8F" w:rsidRDefault="006C79CC" w:rsidP="00192D8F">
      <w:pPr>
        <w:spacing w:after="0" w:line="360" w:lineRule="auto"/>
        <w:ind w:firstLine="709"/>
        <w:jc w:val="both"/>
        <w:rPr>
          <w:rFonts w:ascii="Times New Roman" w:hAnsi="Times New Roman"/>
          <w:i/>
          <w:iCs/>
          <w:color w:val="000000" w:themeColor="text1"/>
          <w:sz w:val="24"/>
          <w:szCs w:val="24"/>
          <w:shd w:val="clear" w:color="auto" w:fill="FFFFFF"/>
        </w:rPr>
      </w:pPr>
      <w:r w:rsidRPr="00192D8F">
        <w:rPr>
          <w:rFonts w:ascii="Times New Roman" w:hAnsi="Times New Roman"/>
          <w:i/>
          <w:iCs/>
          <w:color w:val="000000" w:themeColor="text1"/>
          <w:sz w:val="24"/>
          <w:szCs w:val="24"/>
        </w:rPr>
        <w:t xml:space="preserve">«64) </w:t>
      </w:r>
      <w:r w:rsidRPr="00192D8F">
        <w:rPr>
          <w:rFonts w:ascii="Times New Roman" w:hAnsi="Times New Roman"/>
          <w:i/>
          <w:iCs/>
          <w:color w:val="000000" w:themeColor="text1"/>
          <w:sz w:val="24"/>
          <w:szCs w:val="24"/>
          <w:shd w:val="clear" w:color="auto" w:fill="FFFFFF"/>
        </w:rPr>
        <w:t xml:space="preserve">деятельность в сфере майнинга при условии постановки на соответствующий учет в органе исполнительной власти в сфере </w:t>
      </w:r>
      <w:r w:rsidRPr="00192D8F">
        <w:rPr>
          <w:rFonts w:ascii="Times New Roman" w:hAnsi="Times New Roman"/>
          <w:i/>
          <w:iCs/>
          <w:color w:val="000000" w:themeColor="text1"/>
          <w:sz w:val="24"/>
          <w:szCs w:val="24"/>
        </w:rPr>
        <w:t>цифрового развития</w:t>
      </w:r>
      <w:r w:rsidRPr="00192D8F">
        <w:rPr>
          <w:rFonts w:ascii="Times New Roman" w:hAnsi="Times New Roman"/>
          <w:i/>
          <w:iCs/>
          <w:color w:val="000000" w:themeColor="text1"/>
          <w:sz w:val="24"/>
          <w:szCs w:val="24"/>
          <w:shd w:val="clear" w:color="auto" w:fill="FFFFFF"/>
        </w:rPr>
        <w:t xml:space="preserve">». </w:t>
      </w:r>
    </w:p>
    <w:p w:rsidR="00503DB1" w:rsidRDefault="00503DB1" w:rsidP="00192D8F">
      <w:pPr>
        <w:spacing w:before="240" w:after="240" w:line="360" w:lineRule="auto"/>
        <w:ind w:firstLine="709"/>
        <w:jc w:val="center"/>
        <w:rPr>
          <w:rFonts w:ascii="Times New Roman" w:hAnsi="Times New Roman"/>
          <w:i/>
          <w:iCs/>
          <w:color w:val="000000" w:themeColor="text1"/>
          <w:sz w:val="24"/>
          <w:szCs w:val="24"/>
          <w:shd w:val="clear" w:color="auto" w:fill="FFFFFF"/>
        </w:rPr>
      </w:pPr>
    </w:p>
    <w:p w:rsidR="00592EB6" w:rsidRPr="00192D8F" w:rsidRDefault="00F33CCD" w:rsidP="00192D8F">
      <w:pPr>
        <w:spacing w:before="240" w:after="240" w:line="360" w:lineRule="auto"/>
        <w:ind w:firstLine="709"/>
        <w:jc w:val="center"/>
        <w:rPr>
          <w:rFonts w:ascii="Times New Roman" w:hAnsi="Times New Roman"/>
          <w:i/>
          <w:iCs/>
          <w:color w:val="000000" w:themeColor="text1"/>
          <w:sz w:val="24"/>
          <w:szCs w:val="24"/>
          <w:shd w:val="clear" w:color="auto" w:fill="FFFFFF"/>
        </w:rPr>
      </w:pPr>
      <w:r w:rsidRPr="00192D8F">
        <w:rPr>
          <w:rFonts w:ascii="Times New Roman" w:hAnsi="Times New Roman"/>
          <w:i/>
          <w:iCs/>
          <w:color w:val="000000" w:themeColor="text1"/>
          <w:sz w:val="24"/>
          <w:szCs w:val="24"/>
          <w:shd w:val="clear" w:color="auto" w:fill="FFFFFF"/>
        </w:rPr>
        <w:t>***</w:t>
      </w:r>
    </w:p>
    <w:p w:rsidR="00D7004D" w:rsidRPr="006667A8" w:rsidRDefault="00D7004D" w:rsidP="00D7004D">
      <w:pPr>
        <w:spacing w:after="0" w:line="360" w:lineRule="auto"/>
        <w:ind w:firstLine="709"/>
        <w:jc w:val="both"/>
        <w:rPr>
          <w:rFonts w:ascii="Times New Roman" w:hAnsi="Times New Roman"/>
          <w:color w:val="000000" w:themeColor="text1"/>
          <w:sz w:val="24"/>
          <w:szCs w:val="24"/>
        </w:rPr>
      </w:pPr>
      <w:r w:rsidRPr="006667A8">
        <w:rPr>
          <w:rFonts w:ascii="Times New Roman" w:hAnsi="Times New Roman"/>
          <w:color w:val="000000" w:themeColor="text1"/>
          <w:sz w:val="24"/>
          <w:szCs w:val="24"/>
        </w:rPr>
        <w:t>Координатор работы Комиссии – Александр Журавлев, председатель Комиссии, управляющий партнер ЭБР.</w:t>
      </w:r>
    </w:p>
    <w:p w:rsidR="00B73861" w:rsidRPr="00192D8F" w:rsidRDefault="00B73861" w:rsidP="003A4E93">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Куратор аналитической работы – Михаил Успенский, зампредседателя Комиссии, партнер юридической компании </w:t>
      </w:r>
      <w:r w:rsidRPr="00192D8F">
        <w:rPr>
          <w:rFonts w:ascii="Times New Roman" w:hAnsi="Times New Roman"/>
          <w:color w:val="000000" w:themeColor="text1"/>
          <w:sz w:val="24"/>
          <w:szCs w:val="24"/>
          <w:lang w:val="en-US"/>
        </w:rPr>
        <w:t>Taxology</w:t>
      </w:r>
      <w:r w:rsidRPr="00192D8F">
        <w:rPr>
          <w:rFonts w:ascii="Times New Roman" w:hAnsi="Times New Roman"/>
          <w:color w:val="000000" w:themeColor="text1"/>
          <w:sz w:val="24"/>
          <w:szCs w:val="24"/>
        </w:rPr>
        <w:t>, член Международной налоговой ассоциации</w:t>
      </w:r>
      <w:r w:rsidR="0073233D" w:rsidRPr="00192D8F">
        <w:rPr>
          <w:rFonts w:ascii="Times New Roman" w:hAnsi="Times New Roman"/>
          <w:color w:val="000000" w:themeColor="text1"/>
          <w:sz w:val="24"/>
          <w:szCs w:val="24"/>
        </w:rPr>
        <w:t>.</w:t>
      </w:r>
    </w:p>
    <w:p w:rsidR="00B73861" w:rsidRPr="00192D8F" w:rsidRDefault="00503DB1" w:rsidP="003A4E93">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Ответственный секретарь заседания</w:t>
      </w:r>
      <w:r>
        <w:rPr>
          <w:rFonts w:ascii="Times New Roman" w:hAnsi="Times New Roman"/>
          <w:color w:val="000000" w:themeColor="text1"/>
          <w:sz w:val="24"/>
          <w:szCs w:val="24"/>
        </w:rPr>
        <w:t xml:space="preserve"> </w:t>
      </w:r>
      <w:r w:rsidRPr="00192D8F">
        <w:rPr>
          <w:rFonts w:ascii="Times New Roman" w:hAnsi="Times New Roman"/>
          <w:color w:val="000000" w:themeColor="text1"/>
          <w:sz w:val="24"/>
          <w:szCs w:val="24"/>
        </w:rPr>
        <w:t xml:space="preserve">– Ирина Муращенкова, эксперт программы дополнительного профессионального образования </w:t>
      </w:r>
      <w:r w:rsidRPr="00192D8F">
        <w:rPr>
          <w:rFonts w:ascii="Times New Roman" w:hAnsi="Times New Roman"/>
          <w:color w:val="000000" w:themeColor="text1"/>
          <w:sz w:val="24"/>
          <w:szCs w:val="24"/>
          <w:lang w:val="en-US"/>
        </w:rPr>
        <w:t>Blockchain Lawyers</w:t>
      </w:r>
      <w:r w:rsidRPr="00192D8F">
        <w:rPr>
          <w:rFonts w:ascii="Times New Roman" w:hAnsi="Times New Roman"/>
          <w:color w:val="000000" w:themeColor="text1"/>
          <w:sz w:val="24"/>
          <w:szCs w:val="24"/>
        </w:rPr>
        <w:t>при РЭУ им. Плеханова.</w:t>
      </w:r>
    </w:p>
    <w:p w:rsidR="00103730" w:rsidRPr="00192D8F" w:rsidRDefault="00920D54" w:rsidP="00212F79">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В работе Комиссии также принял участие Липин Дмитрий Александрович – руководитель аппарата Ассоциации юристов России, ответственный секретарь Комиссии Ассоциации по новым технологиям и правовому обеспечению цифровизации общества.</w:t>
      </w:r>
    </w:p>
    <w:p w:rsidR="00103730" w:rsidRPr="00192D8F" w:rsidRDefault="00103730" w:rsidP="00082992">
      <w:pPr>
        <w:spacing w:after="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Докладчики:</w:t>
      </w:r>
    </w:p>
    <w:p w:rsidR="006361C9" w:rsidRPr="00192D8F" w:rsidRDefault="006361C9" w:rsidP="00082992">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1. Вольвач Дмитрий Валерьевич – начальник Управления международного сотрудничества и валютного контроля Центрального аппарат</w:t>
      </w:r>
      <w:r w:rsidR="006F75B8" w:rsidRPr="00192D8F">
        <w:rPr>
          <w:rFonts w:ascii="Times New Roman" w:hAnsi="Times New Roman"/>
          <w:color w:val="000000" w:themeColor="text1"/>
          <w:sz w:val="24"/>
          <w:szCs w:val="24"/>
        </w:rPr>
        <w:t>а</w:t>
      </w:r>
      <w:r w:rsidRPr="00192D8F">
        <w:rPr>
          <w:rFonts w:ascii="Times New Roman" w:hAnsi="Times New Roman"/>
          <w:color w:val="000000" w:themeColor="text1"/>
          <w:sz w:val="24"/>
          <w:szCs w:val="24"/>
        </w:rPr>
        <w:t xml:space="preserve"> ФНС России. </w:t>
      </w:r>
    </w:p>
    <w:p w:rsidR="006361C9" w:rsidRPr="00192D8F" w:rsidRDefault="006361C9" w:rsidP="00082992">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2. Кучеров Илья Ильич </w:t>
      </w:r>
      <w:r w:rsidR="0073233D" w:rsidRPr="00192D8F">
        <w:rPr>
          <w:rFonts w:ascii="Times New Roman" w:hAnsi="Times New Roman"/>
          <w:color w:val="000000" w:themeColor="text1"/>
          <w:sz w:val="24"/>
          <w:szCs w:val="24"/>
        </w:rPr>
        <w:t>–член Комиссии, з</w:t>
      </w:r>
      <w:r w:rsidRPr="00192D8F">
        <w:rPr>
          <w:rFonts w:ascii="Times New Roman" w:hAnsi="Times New Roman"/>
          <w:color w:val="000000" w:themeColor="text1"/>
          <w:sz w:val="24"/>
          <w:szCs w:val="24"/>
        </w:rPr>
        <w:t>аместитель директора Института законодательства и сравнительного правоведения при Правительстве РФ, доктор юридических наук, профессор, заслуженный юрист Российской Федерации.</w:t>
      </w:r>
    </w:p>
    <w:p w:rsidR="006361C9" w:rsidRPr="00192D8F" w:rsidRDefault="00920D54">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3</w:t>
      </w:r>
      <w:r w:rsidR="006361C9" w:rsidRPr="00192D8F">
        <w:rPr>
          <w:rFonts w:ascii="Times New Roman" w:hAnsi="Times New Roman"/>
          <w:color w:val="000000" w:themeColor="text1"/>
          <w:sz w:val="24"/>
          <w:szCs w:val="24"/>
        </w:rPr>
        <w:t>. Бациев Виктор Валентинович – действительный государственный советник юстиции 3-го класса, экс-председатель налогового состава</w:t>
      </w:r>
      <w:r w:rsidRPr="00192D8F">
        <w:rPr>
          <w:rFonts w:ascii="Times New Roman" w:hAnsi="Times New Roman"/>
          <w:color w:val="000000" w:themeColor="text1"/>
          <w:sz w:val="24"/>
          <w:szCs w:val="24"/>
        </w:rPr>
        <w:t xml:space="preserve"> -</w:t>
      </w:r>
      <w:r w:rsidR="006361C9" w:rsidRPr="00192D8F">
        <w:rPr>
          <w:rFonts w:ascii="Times New Roman" w:hAnsi="Times New Roman"/>
          <w:color w:val="000000" w:themeColor="text1"/>
          <w:sz w:val="24"/>
          <w:szCs w:val="24"/>
        </w:rPr>
        <w:t xml:space="preserve"> член Президиума Высшего Арбитражного суда</w:t>
      </w:r>
      <w:r w:rsidR="006F75B8" w:rsidRPr="00192D8F">
        <w:rPr>
          <w:rFonts w:ascii="Times New Roman" w:hAnsi="Times New Roman"/>
          <w:color w:val="000000" w:themeColor="text1"/>
          <w:sz w:val="24"/>
          <w:szCs w:val="24"/>
        </w:rPr>
        <w:t xml:space="preserve"> РФ</w:t>
      </w:r>
      <w:r w:rsidR="006361C9" w:rsidRPr="00192D8F">
        <w:rPr>
          <w:rFonts w:ascii="Times New Roman" w:hAnsi="Times New Roman"/>
          <w:color w:val="000000" w:themeColor="text1"/>
          <w:sz w:val="24"/>
          <w:szCs w:val="24"/>
        </w:rPr>
        <w:t>, почетный работник судебной системы, руководитель проекта «Налог.Поддержка».</w:t>
      </w:r>
    </w:p>
    <w:p w:rsidR="006361C9" w:rsidRPr="00192D8F" w:rsidRDefault="00920D54">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4</w:t>
      </w:r>
      <w:r w:rsidR="006361C9" w:rsidRPr="00192D8F">
        <w:rPr>
          <w:rFonts w:ascii="Times New Roman" w:hAnsi="Times New Roman"/>
          <w:color w:val="000000" w:themeColor="text1"/>
          <w:sz w:val="24"/>
          <w:szCs w:val="24"/>
        </w:rPr>
        <w:t xml:space="preserve">. Мачехин Виктор Александрович – к.ю.н., доцент кафедры финансового права МГЮА им. О.Е. Кутафина, руководитель налоговой практики Московского представительства компании «Линклейтерз» (Великобритания), вице-президент Международной налоговой ассоциации, объединяющей более 12 тысяч </w:t>
      </w:r>
      <w:r w:rsidR="006F75B8" w:rsidRPr="00192D8F">
        <w:rPr>
          <w:rFonts w:ascii="Times New Roman" w:hAnsi="Times New Roman"/>
          <w:color w:val="000000" w:themeColor="text1"/>
          <w:sz w:val="24"/>
          <w:szCs w:val="24"/>
        </w:rPr>
        <w:t>налоговых специалистов</w:t>
      </w:r>
      <w:r w:rsidR="006361C9" w:rsidRPr="00192D8F">
        <w:rPr>
          <w:rFonts w:ascii="Times New Roman" w:hAnsi="Times New Roman"/>
          <w:color w:val="000000" w:themeColor="text1"/>
          <w:sz w:val="24"/>
          <w:szCs w:val="24"/>
        </w:rPr>
        <w:t xml:space="preserve"> в 114 станах мира</w:t>
      </w:r>
      <w:r w:rsidRPr="00192D8F">
        <w:rPr>
          <w:rFonts w:ascii="Times New Roman" w:hAnsi="Times New Roman"/>
          <w:color w:val="000000" w:themeColor="text1"/>
          <w:sz w:val="24"/>
          <w:szCs w:val="24"/>
        </w:rPr>
        <w:t>.</w:t>
      </w:r>
    </w:p>
    <w:p w:rsidR="00920D54" w:rsidRPr="00192D8F" w:rsidRDefault="00920D54">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5. Левашенко Антонина Давидовна – руководитель</w:t>
      </w:r>
      <w:r w:rsidR="006F75B8" w:rsidRPr="00192D8F">
        <w:rPr>
          <w:rFonts w:ascii="Times New Roman" w:hAnsi="Times New Roman"/>
          <w:color w:val="000000" w:themeColor="text1"/>
          <w:sz w:val="24"/>
          <w:szCs w:val="24"/>
        </w:rPr>
        <w:t xml:space="preserve"> российского</w:t>
      </w:r>
      <w:r w:rsidRPr="00192D8F">
        <w:rPr>
          <w:rFonts w:ascii="Times New Roman" w:hAnsi="Times New Roman"/>
          <w:color w:val="000000" w:themeColor="text1"/>
          <w:sz w:val="24"/>
          <w:szCs w:val="24"/>
        </w:rPr>
        <w:t xml:space="preserve"> Центра компетенций и анализа стандартов </w:t>
      </w:r>
      <w:r w:rsidR="006F75B8" w:rsidRPr="00192D8F">
        <w:rPr>
          <w:rFonts w:ascii="Times New Roman" w:hAnsi="Times New Roman"/>
          <w:color w:val="000000" w:themeColor="text1"/>
          <w:sz w:val="24"/>
          <w:szCs w:val="24"/>
        </w:rPr>
        <w:t>Организации Экономического сотрудничества и Развития</w:t>
      </w:r>
      <w:r w:rsidRPr="00192D8F">
        <w:rPr>
          <w:rFonts w:ascii="Times New Roman" w:hAnsi="Times New Roman"/>
          <w:color w:val="000000" w:themeColor="text1"/>
          <w:sz w:val="24"/>
          <w:szCs w:val="24"/>
        </w:rPr>
        <w:t>, старший научный сотрудник ВАВТ Минэкономразвития России и РАНХиГС, эксперт Центра стратегических разработок.</w:t>
      </w:r>
    </w:p>
    <w:p w:rsidR="00920D54" w:rsidRPr="00192D8F" w:rsidRDefault="00920D54">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6. Меркушов Игорь Алексеевич – руководитель направления «Регулирование финансовых рынков» Фонда развития интернет-инициатив;</w:t>
      </w:r>
    </w:p>
    <w:p w:rsidR="00920D54" w:rsidRPr="00192D8F" w:rsidRDefault="00920D54">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7. Кириллов Дмитрий Сергеевич – адвокат, руководитель практики налоговых споров компании МЭФ PKF, член Международной ассоциации юристов (IBA) и Палаты налоговых консультантов России.</w:t>
      </w:r>
    </w:p>
    <w:p w:rsidR="00920D54" w:rsidRPr="00192D8F" w:rsidRDefault="00920D54">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8. Гультяева Елена Викторовна – </w:t>
      </w:r>
      <w:r w:rsidR="0073233D" w:rsidRPr="00192D8F">
        <w:rPr>
          <w:rFonts w:ascii="Times New Roman" w:hAnsi="Times New Roman"/>
          <w:color w:val="000000" w:themeColor="text1"/>
          <w:sz w:val="24"/>
          <w:szCs w:val="24"/>
        </w:rPr>
        <w:t xml:space="preserve">член Комиссии, </w:t>
      </w:r>
      <w:r w:rsidRPr="00192D8F">
        <w:rPr>
          <w:rFonts w:ascii="Times New Roman" w:hAnsi="Times New Roman"/>
          <w:color w:val="000000" w:themeColor="text1"/>
          <w:sz w:val="24"/>
          <w:szCs w:val="24"/>
        </w:rPr>
        <w:t>руководитель правового комитета Российской ассоциации криптовалют и блокчейна (РАКИБ)</w:t>
      </w:r>
    </w:p>
    <w:p w:rsidR="00103730" w:rsidRPr="00192D8F" w:rsidRDefault="00103730">
      <w:pPr>
        <w:spacing w:after="0" w:line="360" w:lineRule="auto"/>
        <w:ind w:firstLine="709"/>
        <w:jc w:val="both"/>
        <w:rPr>
          <w:rFonts w:ascii="Times New Roman" w:hAnsi="Times New Roman"/>
          <w:b/>
          <w:bCs/>
          <w:color w:val="000000" w:themeColor="text1"/>
          <w:sz w:val="24"/>
          <w:szCs w:val="24"/>
        </w:rPr>
      </w:pPr>
      <w:r w:rsidRPr="00192D8F">
        <w:rPr>
          <w:rFonts w:ascii="Times New Roman" w:hAnsi="Times New Roman"/>
          <w:b/>
          <w:bCs/>
          <w:color w:val="000000" w:themeColor="text1"/>
          <w:sz w:val="24"/>
          <w:szCs w:val="24"/>
        </w:rPr>
        <w:t xml:space="preserve">Письменные </w:t>
      </w:r>
      <w:r w:rsidR="00503DB1" w:rsidRPr="00192D8F">
        <w:rPr>
          <w:rFonts w:ascii="Times New Roman" w:hAnsi="Times New Roman"/>
          <w:b/>
          <w:bCs/>
          <w:color w:val="000000" w:themeColor="text1"/>
          <w:sz w:val="24"/>
          <w:szCs w:val="24"/>
        </w:rPr>
        <w:t>замечание также</w:t>
      </w:r>
      <w:r w:rsidR="00AE3A39" w:rsidRPr="00192D8F">
        <w:rPr>
          <w:rFonts w:ascii="Times New Roman" w:hAnsi="Times New Roman"/>
          <w:b/>
          <w:bCs/>
          <w:color w:val="000000" w:themeColor="text1"/>
          <w:sz w:val="24"/>
          <w:szCs w:val="24"/>
        </w:rPr>
        <w:t xml:space="preserve"> поступили </w:t>
      </w:r>
      <w:r w:rsidRPr="00192D8F">
        <w:rPr>
          <w:rFonts w:ascii="Times New Roman" w:hAnsi="Times New Roman"/>
          <w:b/>
          <w:bCs/>
          <w:color w:val="000000" w:themeColor="text1"/>
          <w:sz w:val="24"/>
          <w:szCs w:val="24"/>
        </w:rPr>
        <w:t>от:</w:t>
      </w:r>
    </w:p>
    <w:p w:rsidR="006361C9" w:rsidRPr="00192D8F" w:rsidRDefault="006361C9">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Симоянов Николай Викторович – советник, руководитель налоговой практики компании Tomashevskaya &amp; Partners.</w:t>
      </w:r>
    </w:p>
    <w:p w:rsidR="00D7004D" w:rsidRDefault="006361C9" w:rsidP="003A4E93">
      <w:pPr>
        <w:spacing w:after="0" w:line="360" w:lineRule="auto"/>
        <w:ind w:firstLine="709"/>
        <w:jc w:val="both"/>
        <w:rPr>
          <w:rFonts w:ascii="Times New Roman" w:hAnsi="Times New Roman"/>
          <w:color w:val="000000" w:themeColor="text1"/>
          <w:sz w:val="24"/>
          <w:szCs w:val="24"/>
        </w:rPr>
      </w:pPr>
      <w:r w:rsidRPr="00192D8F">
        <w:rPr>
          <w:rFonts w:ascii="Times New Roman" w:hAnsi="Times New Roman"/>
          <w:color w:val="000000" w:themeColor="text1"/>
          <w:sz w:val="24"/>
          <w:szCs w:val="24"/>
        </w:rPr>
        <w:t xml:space="preserve">Брисов </w:t>
      </w:r>
      <w:r w:rsidR="007E400D" w:rsidRPr="00192D8F">
        <w:rPr>
          <w:rFonts w:ascii="Times New Roman" w:hAnsi="Times New Roman"/>
          <w:color w:val="000000" w:themeColor="text1"/>
          <w:sz w:val="24"/>
          <w:szCs w:val="24"/>
        </w:rPr>
        <w:t xml:space="preserve">Юрий Владимирович </w:t>
      </w:r>
      <w:r w:rsidRPr="00192D8F">
        <w:rPr>
          <w:rFonts w:ascii="Times New Roman" w:hAnsi="Times New Roman"/>
          <w:color w:val="000000" w:themeColor="text1"/>
          <w:sz w:val="24"/>
          <w:szCs w:val="24"/>
        </w:rPr>
        <w:t>– член Комиссии, основатель компании LFCS (Legal Support), юрист международных проектов ICOBOX, IDACB</w:t>
      </w:r>
      <w:r w:rsidR="00082992">
        <w:rPr>
          <w:rFonts w:ascii="Times New Roman" w:hAnsi="Times New Roman"/>
          <w:color w:val="000000" w:themeColor="text1"/>
          <w:sz w:val="24"/>
          <w:szCs w:val="24"/>
        </w:rPr>
        <w:t>.</w:t>
      </w:r>
    </w:p>
    <w:p w:rsidR="00082992" w:rsidRDefault="00082992" w:rsidP="003A4E93">
      <w:pPr>
        <w:spacing w:after="0" w:line="360" w:lineRule="auto"/>
        <w:ind w:firstLine="709"/>
        <w:jc w:val="both"/>
        <w:rPr>
          <w:rFonts w:ascii="Times New Roman" w:hAnsi="Times New Roman"/>
          <w:b/>
          <w:bCs/>
          <w:color w:val="000000" w:themeColor="text1"/>
          <w:sz w:val="24"/>
          <w:szCs w:val="24"/>
        </w:rPr>
      </w:pPr>
    </w:p>
    <w:p w:rsidR="00082992" w:rsidRPr="00082992" w:rsidRDefault="00082992" w:rsidP="00082992">
      <w:pPr>
        <w:spacing w:after="0" w:line="360" w:lineRule="auto"/>
        <w:ind w:firstLine="709"/>
        <w:jc w:val="both"/>
        <w:rPr>
          <w:rFonts w:ascii="Times New Roman" w:hAnsi="Times New Roman"/>
          <w:b/>
          <w:bCs/>
          <w:color w:val="000000" w:themeColor="text1"/>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082992" w:rsidRPr="00082992" w:rsidTr="00B77B1E">
        <w:tc>
          <w:tcPr>
            <w:tcW w:w="4782" w:type="dxa"/>
          </w:tcPr>
          <w:p w:rsidR="00082992" w:rsidRPr="00192D8F" w:rsidRDefault="00082992" w:rsidP="00B77B1E">
            <w:pPr>
              <w:jc w:val="both"/>
              <w:rPr>
                <w:rFonts w:ascii="Times New Roman" w:hAnsi="Times New Roman"/>
                <w:b/>
                <w:sz w:val="24"/>
                <w:szCs w:val="24"/>
              </w:rPr>
            </w:pPr>
            <w:r w:rsidRPr="00192D8F">
              <w:rPr>
                <w:rFonts w:ascii="Times New Roman" w:hAnsi="Times New Roman"/>
                <w:b/>
                <w:sz w:val="24"/>
                <w:szCs w:val="24"/>
              </w:rPr>
              <w:t>Председатель Комиссии</w:t>
            </w:r>
          </w:p>
        </w:tc>
        <w:tc>
          <w:tcPr>
            <w:tcW w:w="4783" w:type="dxa"/>
          </w:tcPr>
          <w:p w:rsidR="00082992" w:rsidRPr="00192D8F" w:rsidRDefault="00082992" w:rsidP="00B77B1E">
            <w:pPr>
              <w:jc w:val="right"/>
              <w:rPr>
                <w:rFonts w:ascii="Times New Roman" w:hAnsi="Times New Roman"/>
                <w:b/>
                <w:sz w:val="24"/>
                <w:szCs w:val="24"/>
              </w:rPr>
            </w:pPr>
            <w:r w:rsidRPr="00192D8F">
              <w:rPr>
                <w:rFonts w:ascii="Times New Roman" w:hAnsi="Times New Roman"/>
                <w:b/>
                <w:sz w:val="24"/>
                <w:szCs w:val="24"/>
              </w:rPr>
              <w:t>А.В. Журавлев</w:t>
            </w:r>
          </w:p>
        </w:tc>
      </w:tr>
    </w:tbl>
    <w:p w:rsidR="00082992" w:rsidRPr="00045DCF" w:rsidRDefault="00082992" w:rsidP="00082992">
      <w:pPr>
        <w:jc w:val="both"/>
        <w:rPr>
          <w:rFonts w:ascii="Times New Roman" w:hAnsi="Times New Roman"/>
          <w:sz w:val="28"/>
          <w:szCs w:val="28"/>
        </w:rPr>
      </w:pPr>
    </w:p>
    <w:p w:rsidR="00082992" w:rsidRPr="00192D8F" w:rsidRDefault="00082992" w:rsidP="00082992">
      <w:pPr>
        <w:spacing w:after="0" w:line="360" w:lineRule="auto"/>
        <w:ind w:firstLine="709"/>
        <w:jc w:val="both"/>
        <w:rPr>
          <w:rFonts w:ascii="Times New Roman" w:hAnsi="Times New Roman"/>
          <w:b/>
          <w:bCs/>
          <w:color w:val="000000" w:themeColor="text1"/>
          <w:sz w:val="24"/>
          <w:szCs w:val="24"/>
        </w:rPr>
      </w:pPr>
    </w:p>
    <w:p w:rsidR="006F75B8" w:rsidRPr="00192D8F" w:rsidRDefault="006F75B8" w:rsidP="00192D8F">
      <w:pPr>
        <w:spacing w:after="0" w:line="360" w:lineRule="auto"/>
        <w:jc w:val="both"/>
        <w:rPr>
          <w:rFonts w:ascii="Times New Roman" w:hAnsi="Times New Roman"/>
          <w:color w:val="000000" w:themeColor="text1"/>
          <w:sz w:val="24"/>
          <w:szCs w:val="24"/>
        </w:rPr>
      </w:pPr>
    </w:p>
    <w:sectPr w:rsidR="006F75B8" w:rsidRPr="00192D8F" w:rsidSect="00CA25A9">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167" w:rsidRDefault="001A3167" w:rsidP="006C79CC">
      <w:pPr>
        <w:spacing w:after="0" w:line="240" w:lineRule="auto"/>
      </w:pPr>
      <w:r>
        <w:separator/>
      </w:r>
    </w:p>
  </w:endnote>
  <w:endnote w:type="continuationSeparator" w:id="0">
    <w:p w:rsidR="001A3167" w:rsidRDefault="001A3167" w:rsidP="006C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emyC">
    <w:altName w:val="Courier New"/>
    <w:charset w:val="00"/>
    <w:family w:val="decorative"/>
    <w:notTrueType/>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8E8" w:rsidRPr="00192D8F" w:rsidRDefault="00CA25A9" w:rsidP="00192D8F">
    <w:pPr>
      <w:pStyle w:val="a9"/>
      <w:spacing w:after="0" w:line="360" w:lineRule="auto"/>
      <w:jc w:val="right"/>
      <w:rPr>
        <w:rFonts w:ascii="Times New Roman" w:hAnsi="Times New Roman"/>
        <w:sz w:val="24"/>
        <w:szCs w:val="24"/>
      </w:rPr>
    </w:pPr>
    <w:r w:rsidRPr="00192D8F">
      <w:rPr>
        <w:rFonts w:ascii="Times New Roman" w:hAnsi="Times New Roman"/>
        <w:sz w:val="24"/>
        <w:szCs w:val="24"/>
      </w:rPr>
      <w:fldChar w:fldCharType="begin"/>
    </w:r>
    <w:r w:rsidR="00F928E8" w:rsidRPr="00192D8F">
      <w:rPr>
        <w:rFonts w:ascii="Times New Roman" w:hAnsi="Times New Roman"/>
        <w:sz w:val="24"/>
        <w:szCs w:val="24"/>
      </w:rPr>
      <w:instrText>PAGE   \* MERGEFORMAT</w:instrText>
    </w:r>
    <w:r w:rsidRPr="00192D8F">
      <w:rPr>
        <w:rFonts w:ascii="Times New Roman" w:hAnsi="Times New Roman"/>
        <w:sz w:val="24"/>
        <w:szCs w:val="24"/>
      </w:rPr>
      <w:fldChar w:fldCharType="separate"/>
    </w:r>
    <w:r w:rsidR="00D9542C">
      <w:rPr>
        <w:rFonts w:ascii="Times New Roman" w:hAnsi="Times New Roman"/>
        <w:noProof/>
        <w:sz w:val="24"/>
        <w:szCs w:val="24"/>
      </w:rPr>
      <w:t>8</w:t>
    </w:r>
    <w:r w:rsidRPr="00192D8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167" w:rsidRDefault="001A3167" w:rsidP="006C79CC">
      <w:pPr>
        <w:spacing w:after="0" w:line="240" w:lineRule="auto"/>
      </w:pPr>
      <w:r>
        <w:separator/>
      </w:r>
    </w:p>
  </w:footnote>
  <w:footnote w:type="continuationSeparator" w:id="0">
    <w:p w:rsidR="001A3167" w:rsidRDefault="001A3167" w:rsidP="006C79CC">
      <w:pPr>
        <w:spacing w:after="0" w:line="240" w:lineRule="auto"/>
      </w:pPr>
      <w:r>
        <w:continuationSeparator/>
      </w:r>
    </w:p>
  </w:footnote>
  <w:footnote w:id="1">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 w:history="1">
        <w:r w:rsidRPr="00503DB1">
          <w:rPr>
            <w:rStyle w:val="a6"/>
            <w:rFonts w:ascii="Times New Roman" w:hAnsi="Times New Roman"/>
            <w:i/>
            <w:color w:val="000000" w:themeColor="text1"/>
          </w:rPr>
          <w:t>https://www.pnp.ru/economics/aksakov-zakon-o-cifrovykh-finansovykh-aktivakh-mozhet-byt-prinyat-do-oktyabrya.html</w:t>
        </w:r>
      </w:hyperlink>
    </w:p>
  </w:footnote>
  <w:footnote w:id="2">
    <w:p w:rsidR="0092174D" w:rsidRPr="00503DB1" w:rsidRDefault="0092174D"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2" w:history="1">
        <w:r w:rsidR="00D7004D" w:rsidRPr="00503DB1">
          <w:rPr>
            <w:rStyle w:val="a6"/>
            <w:rFonts w:ascii="Times New Roman" w:hAnsi="Times New Roman"/>
            <w:i/>
            <w:color w:val="000000" w:themeColor="text1"/>
          </w:rPr>
          <w:t>https://iz.ru/766254/inna-grigoreva-tatiana-gladysheva/kriptovaliuty-v-zakone</w:t>
        </w:r>
      </w:hyperlink>
    </w:p>
  </w:footnote>
  <w:footnote w:id="3">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3" w:history="1">
        <w:r w:rsidRPr="00503DB1">
          <w:rPr>
            <w:rStyle w:val="a6"/>
            <w:rFonts w:ascii="Times New Roman" w:hAnsi="Times New Roman"/>
            <w:i/>
            <w:color w:val="000000" w:themeColor="text1"/>
          </w:rPr>
          <w:t>https://www.irs.gov/pub/irs-drop/n-14-21.pdf</w:t>
        </w:r>
      </w:hyperlink>
    </w:p>
  </w:footnote>
  <w:footnote w:id="4">
    <w:p w:rsidR="006C79CC" w:rsidRPr="00503DB1" w:rsidRDefault="006C79CC" w:rsidP="00503DB1">
      <w:pPr>
        <w:spacing w:after="0" w:line="360" w:lineRule="auto"/>
        <w:rPr>
          <w:rFonts w:ascii="Times New Roman" w:hAnsi="Times New Roman"/>
          <w:i/>
          <w:color w:val="000000" w:themeColor="text1"/>
          <w:sz w:val="20"/>
          <w:szCs w:val="20"/>
        </w:rPr>
      </w:pPr>
      <w:r w:rsidRPr="00503DB1">
        <w:rPr>
          <w:rStyle w:val="a5"/>
          <w:rFonts w:ascii="Times New Roman" w:hAnsi="Times New Roman"/>
          <w:i/>
          <w:color w:val="000000" w:themeColor="text1"/>
          <w:sz w:val="20"/>
          <w:szCs w:val="20"/>
        </w:rPr>
        <w:footnoteRef/>
      </w:r>
      <w:hyperlink r:id="rId4" w:history="1">
        <w:r w:rsidRPr="00503DB1">
          <w:rPr>
            <w:rStyle w:val="a6"/>
            <w:rFonts w:ascii="Times New Roman" w:hAnsi="Times New Roman"/>
            <w:i/>
            <w:color w:val="000000" w:themeColor="text1"/>
            <w:sz w:val="20"/>
            <w:szCs w:val="20"/>
          </w:rPr>
          <w:t>https://www.rbc.ru/finances/27/07/2019/5d3bb1d09a79472e4c58463e</w:t>
        </w:r>
      </w:hyperlink>
    </w:p>
  </w:footnote>
  <w:footnote w:id="5">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5" w:history="1">
        <w:r w:rsidRPr="00503DB1">
          <w:rPr>
            <w:rStyle w:val="a6"/>
            <w:rFonts w:ascii="Times New Roman" w:hAnsi="Times New Roman"/>
            <w:i/>
            <w:color w:val="000000" w:themeColor="text1"/>
          </w:rPr>
          <w:t>https://www.gov.uk/government/publications/tax-on-cryptoassets/cryptoassets-for-individuals</w:t>
        </w:r>
      </w:hyperlink>
    </w:p>
  </w:footnote>
  <w:footnote w:id="6">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6" w:history="1">
        <w:r w:rsidRPr="00503DB1">
          <w:rPr>
            <w:rStyle w:val="a6"/>
            <w:rFonts w:ascii="Times New Roman" w:hAnsi="Times New Roman"/>
            <w:i/>
            <w:color w:val="000000" w:themeColor="text1"/>
          </w:rPr>
          <w:t>https://journalducoin.com/bitcoin/rejet-des-amendements-crypto-en-seconde-lecture-du-plf2019/</w:t>
        </w:r>
      </w:hyperlink>
    </w:p>
  </w:footnote>
  <w:footnote w:id="7">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7" w:history="1">
        <w:r w:rsidRPr="00503DB1">
          <w:rPr>
            <w:rStyle w:val="a6"/>
            <w:rFonts w:ascii="Times New Roman" w:hAnsi="Times New Roman"/>
            <w:i/>
            <w:color w:val="000000" w:themeColor="text1"/>
          </w:rPr>
          <w:t>https://www.iras.gov.sg/irashome/uploadedFiles/IRASHome/GST/Draft%20e-Tax%20Guide%20_GST_Digital%20Payment%20Tokens.pdf</w:t>
        </w:r>
      </w:hyperlink>
    </w:p>
  </w:footnote>
  <w:footnote w:id="8">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8" w:history="1">
        <w:r w:rsidRPr="00503DB1">
          <w:rPr>
            <w:rStyle w:val="a6"/>
            <w:rFonts w:ascii="Times New Roman" w:hAnsi="Times New Roman"/>
            <w:i/>
            <w:color w:val="000000" w:themeColor="text1"/>
          </w:rPr>
          <w:t>http://president.gov.by/ru/official_documents_ru/view/dekret-8-ot-21-dekabrja-2017-g-17716/</w:t>
        </w:r>
      </w:hyperlink>
    </w:p>
  </w:footnote>
  <w:footnote w:id="9">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9" w:history="1">
        <w:r w:rsidRPr="00503DB1">
          <w:rPr>
            <w:rStyle w:val="a6"/>
            <w:rFonts w:ascii="Times New Roman" w:hAnsi="Times New Roman"/>
            <w:i/>
            <w:color w:val="000000" w:themeColor="text1"/>
          </w:rPr>
          <w:t>https://oecd-russia.org/news/gruziya-o-nalogah-i-kriptomire.html</w:t>
        </w:r>
      </w:hyperlink>
    </w:p>
  </w:footnote>
  <w:footnote w:id="10">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0" w:history="1">
        <w:r w:rsidRPr="00503DB1">
          <w:rPr>
            <w:rStyle w:val="a6"/>
            <w:rFonts w:ascii="Times New Roman" w:hAnsi="Times New Roman"/>
            <w:i/>
            <w:color w:val="000000" w:themeColor="text1"/>
          </w:rPr>
          <w:t>https://bit.ly/2Q5mIGp</w:t>
        </w:r>
      </w:hyperlink>
    </w:p>
  </w:footnote>
  <w:footnote w:id="11">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1" w:anchor="Recordkeeping" w:history="1">
        <w:r w:rsidRPr="00503DB1">
          <w:rPr>
            <w:rStyle w:val="a6"/>
            <w:rFonts w:ascii="Times New Roman" w:hAnsi="Times New Roman"/>
            <w:i/>
            <w:color w:val="000000" w:themeColor="text1"/>
          </w:rPr>
          <w:t>https://www.ato.gov.au/General/Gen/Tax-treatment-of-crypto-currencies-in-Australia---specifically-bitcoin/?anchor=Recordkeeping#Recordkeeping</w:t>
        </w:r>
      </w:hyperlink>
    </w:p>
  </w:footnote>
  <w:footnote w:id="12">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2" w:history="1">
        <w:r w:rsidR="007C17CC" w:rsidRPr="00503DB1">
          <w:rPr>
            <w:rStyle w:val="a6"/>
            <w:rFonts w:ascii="Times New Roman" w:hAnsi="Times New Roman"/>
            <w:i/>
            <w:color w:val="000000" w:themeColor="text1"/>
          </w:rPr>
          <w:t>http://www.asahi.com/ajw/articles/AJ201906050064.html</w:t>
        </w:r>
      </w:hyperlink>
    </w:p>
  </w:footnote>
  <w:footnote w:id="13">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3" w:history="1">
        <w:r w:rsidRPr="00503DB1">
          <w:rPr>
            <w:rStyle w:val="a6"/>
            <w:rFonts w:ascii="Times New Roman" w:hAnsi="Times New Roman"/>
            <w:i/>
            <w:color w:val="000000" w:themeColor="text1"/>
          </w:rPr>
          <w:t>https://www.smh.com.au/politics/federal/australia-targets-cryptocurrencies-in-international-tax-crackdown-20190606-p51v0a.html?fbclid=IwAR3lVqCT9FePuDmlxYpVPLfqFL6NRXNE1O3ky1PzC1vVXL03ls6iMNTzDFI</w:t>
        </w:r>
      </w:hyperlink>
    </w:p>
  </w:footnote>
  <w:footnote w:id="14">
    <w:p w:rsidR="006C79CC" w:rsidRPr="00503DB1" w:rsidRDefault="006C79CC" w:rsidP="00503DB1">
      <w:pPr>
        <w:spacing w:after="0" w:line="360" w:lineRule="auto"/>
        <w:rPr>
          <w:rFonts w:ascii="Times New Roman" w:hAnsi="Times New Roman"/>
          <w:i/>
          <w:color w:val="000000" w:themeColor="text1"/>
          <w:sz w:val="20"/>
          <w:szCs w:val="20"/>
        </w:rPr>
      </w:pPr>
      <w:r w:rsidRPr="00503DB1">
        <w:rPr>
          <w:rStyle w:val="a5"/>
          <w:rFonts w:ascii="Times New Roman" w:hAnsi="Times New Roman"/>
          <w:i/>
          <w:color w:val="000000" w:themeColor="text1"/>
          <w:sz w:val="20"/>
          <w:szCs w:val="20"/>
        </w:rPr>
        <w:footnoteRef/>
      </w:r>
      <w:r w:rsidRPr="00503DB1">
        <w:rPr>
          <w:rFonts w:ascii="Times New Roman" w:hAnsi="Times New Roman"/>
          <w:i/>
          <w:color w:val="000000" w:themeColor="text1"/>
          <w:sz w:val="20"/>
          <w:szCs w:val="20"/>
        </w:rPr>
        <w:t xml:space="preserve"> Несмотря на положительную для налогоплательщиков трактовку, формально позиция финансового ведомства противоречит букве закона, т.к. данный подпункт использует термин «имущество», а не «имущественные права». Тем не менее, налогоплательщики, руководствующиеся письменными разъяснениями контролирующих органов, могут быть впоследствии освобождены от налоговых штрафов, составляющих 20%-40%..</w:t>
      </w:r>
    </w:p>
  </w:footnote>
  <w:footnote w:id="15">
    <w:p w:rsidR="00886519" w:rsidRPr="00503DB1" w:rsidRDefault="00886519"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4" w:history="1">
        <w:r w:rsidRPr="00503DB1">
          <w:rPr>
            <w:rStyle w:val="a6"/>
            <w:rFonts w:ascii="Times New Roman" w:hAnsi="Times New Roman"/>
            <w:i/>
            <w:color w:val="000000" w:themeColor="text1"/>
          </w:rPr>
          <w:t>http://www.oecd.org/tax/beps/</w:t>
        </w:r>
      </w:hyperlink>
    </w:p>
  </w:footnote>
  <w:footnote w:id="16">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5" w:history="1">
        <w:r w:rsidRPr="00503DB1">
          <w:rPr>
            <w:rStyle w:val="a6"/>
            <w:rFonts w:ascii="Times New Roman" w:hAnsi="Times New Roman"/>
            <w:i/>
            <w:color w:val="000000" w:themeColor="text1"/>
          </w:rPr>
          <w:t>https://forklog.com/oesr-vystupil-za-standartizatsiyu-nalogooblozheniya-bitkoina/</w:t>
        </w:r>
      </w:hyperlink>
    </w:p>
  </w:footnote>
  <w:footnote w:id="17">
    <w:p w:rsidR="00C066C1" w:rsidRPr="00503DB1" w:rsidRDefault="00C066C1"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6" w:history="1">
        <w:r w:rsidRPr="00503DB1">
          <w:rPr>
            <w:rStyle w:val="a6"/>
            <w:rFonts w:ascii="Times New Roman" w:hAnsi="Times New Roman"/>
            <w:i/>
            <w:color w:val="000000" w:themeColor="text1"/>
          </w:rPr>
          <w:t>http://www.oecd.org/daf/blockchain/OECD-Blockchain-Policy-Centre-Flyer.pdf</w:t>
        </w:r>
      </w:hyperlink>
    </w:p>
  </w:footnote>
  <w:footnote w:id="18">
    <w:p w:rsidR="006C79CC" w:rsidRPr="00503DB1" w:rsidRDefault="006C79CC"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hyperlink r:id="rId17" w:history="1">
        <w:r w:rsidRPr="00503DB1">
          <w:rPr>
            <w:rStyle w:val="a6"/>
            <w:rFonts w:ascii="Times New Roman" w:hAnsi="Times New Roman"/>
            <w:i/>
            <w:color w:val="000000" w:themeColor="text1"/>
          </w:rPr>
          <w:t>https://alrf.msk.ru/komissiya_po_pravovomu_obespecheniyu_cifrovoy_ekonomiki_pri_mos_2</w:t>
        </w:r>
      </w:hyperlink>
    </w:p>
  </w:footnote>
  <w:footnote w:id="19">
    <w:p w:rsidR="00A403B5" w:rsidRPr="00503DB1" w:rsidRDefault="00A403B5" w:rsidP="00503DB1">
      <w:pPr>
        <w:pStyle w:val="a3"/>
        <w:spacing w:after="0" w:line="360" w:lineRule="auto"/>
        <w:rPr>
          <w:rFonts w:ascii="Times New Roman" w:hAnsi="Times New Roman"/>
          <w:i/>
          <w:color w:val="000000" w:themeColor="text1"/>
        </w:rPr>
      </w:pPr>
      <w:r w:rsidRPr="00503DB1">
        <w:rPr>
          <w:rStyle w:val="a5"/>
          <w:rFonts w:ascii="Times New Roman" w:hAnsi="Times New Roman"/>
          <w:i/>
          <w:color w:val="000000" w:themeColor="text1"/>
        </w:rPr>
        <w:footnoteRef/>
      </w:r>
      <w:r w:rsidRPr="00503DB1">
        <w:rPr>
          <w:rFonts w:ascii="Times New Roman" w:hAnsi="Times New Roman"/>
          <w:i/>
          <w:color w:val="000000" w:themeColor="text1"/>
        </w:rPr>
        <w:t xml:space="preserve"> Определение ВС РФ от 30.07.2015 № 305-КГ15-3206, А40-140893/2013, Постановления Президиума ВАС РФ от 08.10.2013 № 3589/13, от 08.11.2011 № 5292/11, от 28.06.2011 №913/11</w:t>
      </w:r>
      <w:r w:rsidR="00FB0325" w:rsidRPr="00503DB1">
        <w:rPr>
          <w:rFonts w:ascii="Times New Roman" w:hAnsi="Times New Roman"/>
          <w:i/>
          <w:color w:val="000000" w:themeColor="text1"/>
        </w:rPr>
        <w:t>.</w:t>
      </w:r>
    </w:p>
  </w:footnote>
  <w:footnote w:id="20">
    <w:p w:rsidR="00151EE1" w:rsidRPr="00192D8F" w:rsidRDefault="00151EE1" w:rsidP="00503DB1">
      <w:pPr>
        <w:pStyle w:val="a3"/>
        <w:spacing w:after="0" w:line="360" w:lineRule="auto"/>
        <w:rPr>
          <w:rFonts w:ascii="Times New Roman" w:hAnsi="Times New Roman"/>
          <w:i/>
        </w:rPr>
      </w:pPr>
      <w:r w:rsidRPr="00503DB1">
        <w:rPr>
          <w:rStyle w:val="a5"/>
          <w:rFonts w:ascii="Times New Roman" w:hAnsi="Times New Roman"/>
          <w:i/>
          <w:color w:val="000000" w:themeColor="text1"/>
        </w:rPr>
        <w:footnoteRef/>
      </w:r>
      <w:r w:rsidRPr="00503DB1">
        <w:rPr>
          <w:rFonts w:ascii="Times New Roman" w:hAnsi="Times New Roman"/>
          <w:bCs/>
          <w:i/>
          <w:color w:val="000000" w:themeColor="text1"/>
        </w:rPr>
        <w:t>Определение СКЭС ВС РФ № 302-КГ17-785 от 11.07.2017 в отношении «безденежной» реализации прав</w:t>
      </w:r>
      <w:r w:rsidRPr="00192D8F">
        <w:rPr>
          <w:rFonts w:ascii="Times New Roman" w:hAnsi="Times New Roman"/>
          <w:bCs/>
          <w:i/>
        </w:rPr>
        <w:t xml:space="preserve"> аренды земельного участка по договору купли-продажи имущественных прав и обязанностей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A9F"/>
    <w:multiLevelType w:val="hybridMultilevel"/>
    <w:tmpl w:val="2862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670ECB"/>
    <w:multiLevelType w:val="hybridMultilevel"/>
    <w:tmpl w:val="68669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A78F3"/>
    <w:multiLevelType w:val="hybridMultilevel"/>
    <w:tmpl w:val="A9B04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6C13A52"/>
    <w:multiLevelType w:val="hybridMultilevel"/>
    <w:tmpl w:val="B14C2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D7A0EDD"/>
    <w:multiLevelType w:val="hybridMultilevel"/>
    <w:tmpl w:val="F3D4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3922BA"/>
    <w:multiLevelType w:val="hybridMultilevel"/>
    <w:tmpl w:val="D958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762CED"/>
    <w:multiLevelType w:val="hybridMultilevel"/>
    <w:tmpl w:val="58E0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957C8D"/>
    <w:multiLevelType w:val="hybridMultilevel"/>
    <w:tmpl w:val="EC2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CC"/>
    <w:rsid w:val="00064812"/>
    <w:rsid w:val="00082992"/>
    <w:rsid w:val="00094656"/>
    <w:rsid w:val="000B699F"/>
    <w:rsid w:val="00103730"/>
    <w:rsid w:val="00126EFE"/>
    <w:rsid w:val="00151EE1"/>
    <w:rsid w:val="00164B48"/>
    <w:rsid w:val="00186FF8"/>
    <w:rsid w:val="00192D8F"/>
    <w:rsid w:val="001A3167"/>
    <w:rsid w:val="00200EED"/>
    <w:rsid w:val="00212F79"/>
    <w:rsid w:val="00247212"/>
    <w:rsid w:val="002A0039"/>
    <w:rsid w:val="002E74D0"/>
    <w:rsid w:val="003034EB"/>
    <w:rsid w:val="0035715A"/>
    <w:rsid w:val="003A4E93"/>
    <w:rsid w:val="003B5624"/>
    <w:rsid w:val="003C5023"/>
    <w:rsid w:val="00485173"/>
    <w:rsid w:val="004A5073"/>
    <w:rsid w:val="004A6B03"/>
    <w:rsid w:val="00503DB1"/>
    <w:rsid w:val="005532D5"/>
    <w:rsid w:val="00592EB6"/>
    <w:rsid w:val="005949B1"/>
    <w:rsid w:val="005A6BE8"/>
    <w:rsid w:val="00602C4F"/>
    <w:rsid w:val="006361C9"/>
    <w:rsid w:val="00684871"/>
    <w:rsid w:val="006C79CC"/>
    <w:rsid w:val="006F75B8"/>
    <w:rsid w:val="0073233D"/>
    <w:rsid w:val="00735D9D"/>
    <w:rsid w:val="00772EF9"/>
    <w:rsid w:val="007838C7"/>
    <w:rsid w:val="007C17CC"/>
    <w:rsid w:val="007D7068"/>
    <w:rsid w:val="007E284B"/>
    <w:rsid w:val="007E400D"/>
    <w:rsid w:val="00835FC3"/>
    <w:rsid w:val="00836EC6"/>
    <w:rsid w:val="00886519"/>
    <w:rsid w:val="008C5639"/>
    <w:rsid w:val="00920D54"/>
    <w:rsid w:val="0092174D"/>
    <w:rsid w:val="00952D1E"/>
    <w:rsid w:val="009B0899"/>
    <w:rsid w:val="009B16BC"/>
    <w:rsid w:val="00A403B5"/>
    <w:rsid w:val="00A50901"/>
    <w:rsid w:val="00A54AC6"/>
    <w:rsid w:val="00A727F2"/>
    <w:rsid w:val="00A850E8"/>
    <w:rsid w:val="00AE3A39"/>
    <w:rsid w:val="00B022E8"/>
    <w:rsid w:val="00B2201F"/>
    <w:rsid w:val="00B73861"/>
    <w:rsid w:val="00BC7453"/>
    <w:rsid w:val="00BC7B04"/>
    <w:rsid w:val="00C066C1"/>
    <w:rsid w:val="00C208DC"/>
    <w:rsid w:val="00C41981"/>
    <w:rsid w:val="00C858B6"/>
    <w:rsid w:val="00CA25A9"/>
    <w:rsid w:val="00CA5EE1"/>
    <w:rsid w:val="00CB13BF"/>
    <w:rsid w:val="00D249F7"/>
    <w:rsid w:val="00D62D00"/>
    <w:rsid w:val="00D7004D"/>
    <w:rsid w:val="00D9542C"/>
    <w:rsid w:val="00E4615C"/>
    <w:rsid w:val="00E50ECE"/>
    <w:rsid w:val="00E673F2"/>
    <w:rsid w:val="00EC68FC"/>
    <w:rsid w:val="00ED1AAF"/>
    <w:rsid w:val="00EF1DBF"/>
    <w:rsid w:val="00F33CCD"/>
    <w:rsid w:val="00F73968"/>
    <w:rsid w:val="00F928E8"/>
    <w:rsid w:val="00FB0325"/>
    <w:rsid w:val="00FE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1F0AC4-5328-6E43-A16D-1CFAE8D6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5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79CC"/>
    <w:rPr>
      <w:sz w:val="20"/>
      <w:szCs w:val="20"/>
    </w:rPr>
  </w:style>
  <w:style w:type="character" w:customStyle="1" w:styleId="a4">
    <w:name w:val="Текст сноски Знак"/>
    <w:link w:val="a3"/>
    <w:uiPriority w:val="99"/>
    <w:semiHidden/>
    <w:rsid w:val="006C79CC"/>
    <w:rPr>
      <w:rFonts w:ascii="Calibri" w:eastAsia="Calibri" w:hAnsi="Calibri" w:cs="Times New Roman"/>
      <w:sz w:val="20"/>
      <w:szCs w:val="20"/>
    </w:rPr>
  </w:style>
  <w:style w:type="character" w:styleId="a5">
    <w:name w:val="footnote reference"/>
    <w:uiPriority w:val="99"/>
    <w:semiHidden/>
    <w:unhideWhenUsed/>
    <w:rsid w:val="006C79CC"/>
    <w:rPr>
      <w:vertAlign w:val="superscript"/>
    </w:rPr>
  </w:style>
  <w:style w:type="character" w:styleId="a6">
    <w:name w:val="Hyperlink"/>
    <w:uiPriority w:val="99"/>
    <w:unhideWhenUsed/>
    <w:rsid w:val="006C79CC"/>
    <w:rPr>
      <w:color w:val="0000FF"/>
      <w:u w:val="single"/>
    </w:rPr>
  </w:style>
  <w:style w:type="paragraph" w:styleId="a7">
    <w:name w:val="header"/>
    <w:basedOn w:val="a"/>
    <w:link w:val="a8"/>
    <w:uiPriority w:val="99"/>
    <w:unhideWhenUsed/>
    <w:rsid w:val="006C79CC"/>
    <w:pPr>
      <w:tabs>
        <w:tab w:val="center" w:pos="4677"/>
        <w:tab w:val="right" w:pos="9355"/>
      </w:tabs>
    </w:pPr>
  </w:style>
  <w:style w:type="character" w:customStyle="1" w:styleId="a8">
    <w:name w:val="Верхний колонтитул Знак"/>
    <w:link w:val="a7"/>
    <w:uiPriority w:val="99"/>
    <w:rsid w:val="006C79CC"/>
    <w:rPr>
      <w:rFonts w:ascii="Calibri" w:eastAsia="Calibri" w:hAnsi="Calibri" w:cs="Times New Roman"/>
    </w:rPr>
  </w:style>
  <w:style w:type="paragraph" w:styleId="a9">
    <w:name w:val="footer"/>
    <w:basedOn w:val="a"/>
    <w:link w:val="aa"/>
    <w:uiPriority w:val="99"/>
    <w:unhideWhenUsed/>
    <w:rsid w:val="006C79CC"/>
    <w:pPr>
      <w:tabs>
        <w:tab w:val="center" w:pos="4677"/>
        <w:tab w:val="right" w:pos="9355"/>
      </w:tabs>
    </w:pPr>
  </w:style>
  <w:style w:type="character" w:customStyle="1" w:styleId="aa">
    <w:name w:val="Нижний колонтитул Знак"/>
    <w:link w:val="a9"/>
    <w:uiPriority w:val="99"/>
    <w:rsid w:val="006C79CC"/>
    <w:rPr>
      <w:rFonts w:ascii="Calibri" w:eastAsia="Calibri" w:hAnsi="Calibri" w:cs="Times New Roman"/>
    </w:rPr>
  </w:style>
  <w:style w:type="paragraph" w:styleId="ab">
    <w:name w:val="Balloon Text"/>
    <w:basedOn w:val="a"/>
    <w:link w:val="ac"/>
    <w:uiPriority w:val="99"/>
    <w:semiHidden/>
    <w:unhideWhenUsed/>
    <w:rsid w:val="006C79CC"/>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6C79CC"/>
    <w:rPr>
      <w:rFonts w:ascii="Tahoma" w:hAnsi="Tahoma" w:cs="Tahoma"/>
      <w:sz w:val="16"/>
      <w:szCs w:val="16"/>
    </w:rPr>
  </w:style>
  <w:style w:type="character" w:styleId="ad">
    <w:name w:val="FollowedHyperlink"/>
    <w:uiPriority w:val="99"/>
    <w:semiHidden/>
    <w:unhideWhenUsed/>
    <w:rsid w:val="00186FF8"/>
    <w:rPr>
      <w:color w:val="954F72"/>
      <w:u w:val="single"/>
    </w:rPr>
  </w:style>
  <w:style w:type="character" w:styleId="ae">
    <w:name w:val="annotation reference"/>
    <w:uiPriority w:val="99"/>
    <w:semiHidden/>
    <w:unhideWhenUsed/>
    <w:rsid w:val="007C17CC"/>
    <w:rPr>
      <w:sz w:val="16"/>
      <w:szCs w:val="16"/>
    </w:rPr>
  </w:style>
  <w:style w:type="paragraph" w:styleId="af">
    <w:name w:val="annotation text"/>
    <w:basedOn w:val="a"/>
    <w:link w:val="af0"/>
    <w:uiPriority w:val="99"/>
    <w:semiHidden/>
    <w:unhideWhenUsed/>
    <w:rsid w:val="007C17CC"/>
    <w:rPr>
      <w:sz w:val="20"/>
      <w:szCs w:val="20"/>
    </w:rPr>
  </w:style>
  <w:style w:type="character" w:customStyle="1" w:styleId="af0">
    <w:name w:val="Текст примечания Знак"/>
    <w:link w:val="af"/>
    <w:uiPriority w:val="99"/>
    <w:semiHidden/>
    <w:rsid w:val="007C17CC"/>
    <w:rPr>
      <w:lang w:eastAsia="en-US"/>
    </w:rPr>
  </w:style>
  <w:style w:type="paragraph" w:styleId="af1">
    <w:name w:val="annotation subject"/>
    <w:basedOn w:val="af"/>
    <w:next w:val="af"/>
    <w:link w:val="af2"/>
    <w:uiPriority w:val="99"/>
    <w:semiHidden/>
    <w:unhideWhenUsed/>
    <w:rsid w:val="007C17CC"/>
    <w:rPr>
      <w:b/>
      <w:bCs/>
    </w:rPr>
  </w:style>
  <w:style w:type="character" w:customStyle="1" w:styleId="af2">
    <w:name w:val="Тема примечания Знак"/>
    <w:link w:val="af1"/>
    <w:uiPriority w:val="99"/>
    <w:semiHidden/>
    <w:rsid w:val="007C17CC"/>
    <w:rPr>
      <w:b/>
      <w:bCs/>
      <w:lang w:eastAsia="en-US"/>
    </w:rPr>
  </w:style>
  <w:style w:type="paragraph" w:styleId="af3">
    <w:name w:val="Revision"/>
    <w:hidden/>
    <w:uiPriority w:val="99"/>
    <w:semiHidden/>
    <w:rsid w:val="007C17CC"/>
    <w:rPr>
      <w:sz w:val="22"/>
      <w:szCs w:val="22"/>
      <w:lang w:eastAsia="en-US"/>
    </w:rPr>
  </w:style>
  <w:style w:type="character" w:customStyle="1" w:styleId="af4">
    <w:name w:val="Нет"/>
    <w:rsid w:val="007E400D"/>
  </w:style>
  <w:style w:type="character" w:customStyle="1" w:styleId="1">
    <w:name w:val="Неразрешенное упоминание1"/>
    <w:basedOn w:val="a0"/>
    <w:uiPriority w:val="99"/>
    <w:semiHidden/>
    <w:unhideWhenUsed/>
    <w:rsid w:val="0073233D"/>
    <w:rPr>
      <w:color w:val="605E5C"/>
      <w:shd w:val="clear" w:color="auto" w:fill="E1DFDD"/>
    </w:rPr>
  </w:style>
  <w:style w:type="table" w:styleId="af5">
    <w:name w:val="Table Grid"/>
    <w:basedOn w:val="a1"/>
    <w:uiPriority w:val="39"/>
    <w:rsid w:val="0008299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4669">
      <w:bodyDiv w:val="1"/>
      <w:marLeft w:val="0"/>
      <w:marRight w:val="0"/>
      <w:marTop w:val="0"/>
      <w:marBottom w:val="0"/>
      <w:divBdr>
        <w:top w:val="none" w:sz="0" w:space="0" w:color="auto"/>
        <w:left w:val="none" w:sz="0" w:space="0" w:color="auto"/>
        <w:bottom w:val="none" w:sz="0" w:space="0" w:color="auto"/>
        <w:right w:val="none" w:sz="0" w:space="0" w:color="auto"/>
      </w:divBdr>
    </w:div>
    <w:div w:id="524489072">
      <w:bodyDiv w:val="1"/>
      <w:marLeft w:val="0"/>
      <w:marRight w:val="0"/>
      <w:marTop w:val="0"/>
      <w:marBottom w:val="0"/>
      <w:divBdr>
        <w:top w:val="none" w:sz="0" w:space="0" w:color="auto"/>
        <w:left w:val="none" w:sz="0" w:space="0" w:color="auto"/>
        <w:bottom w:val="none" w:sz="0" w:space="0" w:color="auto"/>
        <w:right w:val="none" w:sz="0" w:space="0" w:color="auto"/>
      </w:divBdr>
    </w:div>
    <w:div w:id="722827667">
      <w:bodyDiv w:val="1"/>
      <w:marLeft w:val="0"/>
      <w:marRight w:val="0"/>
      <w:marTop w:val="0"/>
      <w:marBottom w:val="0"/>
      <w:divBdr>
        <w:top w:val="none" w:sz="0" w:space="0" w:color="auto"/>
        <w:left w:val="none" w:sz="0" w:space="0" w:color="auto"/>
        <w:bottom w:val="none" w:sz="0" w:space="0" w:color="auto"/>
        <w:right w:val="none" w:sz="0" w:space="0" w:color="auto"/>
      </w:divBdr>
    </w:div>
    <w:div w:id="1330132256">
      <w:bodyDiv w:val="1"/>
      <w:marLeft w:val="0"/>
      <w:marRight w:val="0"/>
      <w:marTop w:val="0"/>
      <w:marBottom w:val="0"/>
      <w:divBdr>
        <w:top w:val="none" w:sz="0" w:space="0" w:color="auto"/>
        <w:left w:val="none" w:sz="0" w:space="0" w:color="auto"/>
        <w:bottom w:val="none" w:sz="0" w:space="0" w:color="auto"/>
        <w:right w:val="none" w:sz="0" w:space="0" w:color="auto"/>
      </w:divBdr>
    </w:div>
    <w:div w:id="1463815095">
      <w:bodyDiv w:val="1"/>
      <w:marLeft w:val="0"/>
      <w:marRight w:val="0"/>
      <w:marTop w:val="0"/>
      <w:marBottom w:val="0"/>
      <w:divBdr>
        <w:top w:val="none" w:sz="0" w:space="0" w:color="auto"/>
        <w:left w:val="none" w:sz="0" w:space="0" w:color="auto"/>
        <w:bottom w:val="none" w:sz="0" w:space="0" w:color="auto"/>
        <w:right w:val="none" w:sz="0" w:space="0" w:color="auto"/>
      </w:divBdr>
    </w:div>
    <w:div w:id="1831940291">
      <w:bodyDiv w:val="1"/>
      <w:marLeft w:val="0"/>
      <w:marRight w:val="0"/>
      <w:marTop w:val="0"/>
      <w:marBottom w:val="0"/>
      <w:divBdr>
        <w:top w:val="none" w:sz="0" w:space="0" w:color="auto"/>
        <w:left w:val="none" w:sz="0" w:space="0" w:color="auto"/>
        <w:bottom w:val="none" w:sz="0" w:space="0" w:color="auto"/>
        <w:right w:val="none" w:sz="0" w:space="0" w:color="auto"/>
      </w:divBdr>
    </w:div>
    <w:div w:id="1981300673">
      <w:bodyDiv w:val="1"/>
      <w:marLeft w:val="0"/>
      <w:marRight w:val="0"/>
      <w:marTop w:val="0"/>
      <w:marBottom w:val="0"/>
      <w:divBdr>
        <w:top w:val="none" w:sz="0" w:space="0" w:color="auto"/>
        <w:left w:val="none" w:sz="0" w:space="0" w:color="auto"/>
        <w:bottom w:val="none" w:sz="0" w:space="0" w:color="auto"/>
        <w:right w:val="none" w:sz="0" w:space="0" w:color="auto"/>
      </w:divBdr>
    </w:div>
    <w:div w:id="1996833893">
      <w:bodyDiv w:val="1"/>
      <w:marLeft w:val="0"/>
      <w:marRight w:val="0"/>
      <w:marTop w:val="0"/>
      <w:marBottom w:val="0"/>
      <w:divBdr>
        <w:top w:val="none" w:sz="0" w:space="0" w:color="auto"/>
        <w:left w:val="none" w:sz="0" w:space="0" w:color="auto"/>
        <w:bottom w:val="none" w:sz="0" w:space="0" w:color="auto"/>
        <w:right w:val="none" w:sz="0" w:space="0" w:color="auto"/>
      </w:divBdr>
    </w:div>
    <w:div w:id="2003268675">
      <w:bodyDiv w:val="1"/>
      <w:marLeft w:val="0"/>
      <w:marRight w:val="0"/>
      <w:marTop w:val="0"/>
      <w:marBottom w:val="0"/>
      <w:divBdr>
        <w:top w:val="none" w:sz="0" w:space="0" w:color="auto"/>
        <w:left w:val="none" w:sz="0" w:space="0" w:color="auto"/>
        <w:bottom w:val="none" w:sz="0" w:space="0" w:color="auto"/>
        <w:right w:val="none" w:sz="0" w:space="0" w:color="auto"/>
      </w:divBdr>
    </w:div>
    <w:div w:id="20498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consultantplus://offline/ref=0B59461ADF9C3BE4DFF08A4AD45C857F824EE2382D96185E3590B36B094A12E6DECB4D76365580DCj8C"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consultantplus://offline/ref=490E867725FDF05F86A5F3CD2F9E191E6237AF63D3B259A31BC7F8E456E2TFREC"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consultantplus://offline/ref=0B59461ADF9C3BE4DFF08A4AD45C857F824EE2382D96185E3590B36B094A12E6DECB4E7430D5j7C"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consultantplus://offline/ref=490E867725FDF05F86A5EED93DF623183F38AE65D5B451FE11CFA1E854E5F1DB832E24F985A50F28T1R6C" TargetMode="External" /><Relationship Id="rId5" Type="http://schemas.openxmlformats.org/officeDocument/2006/relationships/webSettings" Target="webSettings.xml" /><Relationship Id="rId15" Type="http://schemas.openxmlformats.org/officeDocument/2006/relationships/hyperlink" Target="consultantplus://offline/ref=0B59461ADF9C3BE4DFF08A4AD45C857F824EE2382D96185E3590B36B094A12E6DECB4D76355981DCj7C" TargetMode="External" /><Relationship Id="rId10" Type="http://schemas.openxmlformats.org/officeDocument/2006/relationships/hyperlink" Target="http://www.alrf.msk.ru"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mailto:digitallaw@alrf.msk.ru" TargetMode="External" /><Relationship Id="rId14" Type="http://schemas.openxmlformats.org/officeDocument/2006/relationships/hyperlink" Target="consultantplus://offline/ref=0B59461ADF9C3BE4DFF08A4AD45C857F824EE2382D96185E3590B36B094A12E6DECB4D76355982DCj2C"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president.gov.by/ru/official_documents_ru/view/dekret-8-ot-21-dekabrja-2017-g-17716/" TargetMode="External" /><Relationship Id="rId13" Type="http://schemas.openxmlformats.org/officeDocument/2006/relationships/hyperlink" Target="https://www.smh.com.au/politics/federal/australia-targets-cryptocurrencies-in-international-tax-crackdown-20190606-p51v0a.html?fbclid=IwAR3lVqCT9FePuDmlxYpVPLfqFL6NRXNE1O3ky1PzC1vVXL03ls6iMNTzDFI" TargetMode="External" /><Relationship Id="rId3" Type="http://schemas.openxmlformats.org/officeDocument/2006/relationships/hyperlink" Target="https://www.irs.gov/pub/irs-drop/n-14-21.pdf" TargetMode="External" /><Relationship Id="rId7" Type="http://schemas.openxmlformats.org/officeDocument/2006/relationships/hyperlink" Target="https://www.iras.gov.sg/irashome/uploadedFiles/IRASHome/GST/Draft%20e-Tax%20Guide%20_GST_Digital%20Payment%20Tokens.pdf" TargetMode="External" /><Relationship Id="rId12" Type="http://schemas.openxmlformats.org/officeDocument/2006/relationships/hyperlink" Target="http://www.asahi.com/ajw/articles/AJ201906050064.html" TargetMode="External" /><Relationship Id="rId17" Type="http://schemas.openxmlformats.org/officeDocument/2006/relationships/hyperlink" Target="https://alrf.msk.ru/komissiya_po_pravovomu_obespecheniyu_cifrovoy_ekonomiki_pri_mos_2" TargetMode="External" /><Relationship Id="rId2" Type="http://schemas.openxmlformats.org/officeDocument/2006/relationships/hyperlink" Target="https://iz.ru/766254/inna-grigoreva-tatiana-gladysheva/kriptovaliuty-v-zakone" TargetMode="External" /><Relationship Id="rId16" Type="http://schemas.openxmlformats.org/officeDocument/2006/relationships/hyperlink" Target="http://www.oecd.org/daf/blockchain/OECD-Blockchain-Policy-Centre-Flyer.pdf" TargetMode="External" /><Relationship Id="rId1" Type="http://schemas.openxmlformats.org/officeDocument/2006/relationships/hyperlink" Target="https://www.pnp.ru/economics/aksakov-zakon-o-cifrovykh-finansovykh-aktivakh-mozhet-byt-prinyat-do-oktyabrya.html" TargetMode="External" /><Relationship Id="rId6" Type="http://schemas.openxmlformats.org/officeDocument/2006/relationships/hyperlink" Target="https://journalducoin.com/bitcoin/rejet-des-amendements-crypto-en-seconde-lecture-du-plf2019/" TargetMode="External" /><Relationship Id="rId11" Type="http://schemas.openxmlformats.org/officeDocument/2006/relationships/hyperlink" Target="https://www.ato.gov.au/General/Gen/Tax-treatment-of-crypto-currencies-in-Australia---specifically-bitcoin/?anchor=Recordkeeping" TargetMode="External" /><Relationship Id="rId5" Type="http://schemas.openxmlformats.org/officeDocument/2006/relationships/hyperlink" Target="https://www.gov.uk/government/publications/tax-on-cryptoassets/cryptoassets-for-individuals" TargetMode="External" /><Relationship Id="rId15" Type="http://schemas.openxmlformats.org/officeDocument/2006/relationships/hyperlink" Target="https://forklog.com/oesr-vystupil-za-standartizatsiyu-nalogooblozheniya-bitkoina/" TargetMode="External" /><Relationship Id="rId10" Type="http://schemas.openxmlformats.org/officeDocument/2006/relationships/hyperlink" Target="https://bit.ly/2Q5mIGp" TargetMode="External" /><Relationship Id="rId4" Type="http://schemas.openxmlformats.org/officeDocument/2006/relationships/hyperlink" Target="https://www.rbc.ru/finances/27/07/2019/5d3bb1d09a79472e4c58463e" TargetMode="External" /><Relationship Id="rId9" Type="http://schemas.openxmlformats.org/officeDocument/2006/relationships/hyperlink" Target="https://oecd-russia.org/news/gruziya-o-nalogah-i-kriptomire.html" TargetMode="External" /><Relationship Id="rId14" Type="http://schemas.openxmlformats.org/officeDocument/2006/relationships/hyperlink" Target="http://www.oecd.org/tax/bep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6E32-866D-4143-9FC3-CF89E99D90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7075</Words>
  <Characters>40329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47310</CharactersWithSpaces>
  <SharedDoc>false</SharedDoc>
  <HLinks>
    <vt:vector size="144" baseType="variant">
      <vt:variant>
        <vt:i4>8192088</vt:i4>
      </vt:variant>
      <vt:variant>
        <vt:i4>18</vt:i4>
      </vt:variant>
      <vt:variant>
        <vt:i4>0</vt:i4>
      </vt:variant>
      <vt:variant>
        <vt:i4>5</vt:i4>
      </vt:variant>
      <vt:variant>
        <vt:lpwstr>https://www.kommersant.ru/doc/4047011?from=main_1</vt:lpwstr>
      </vt:variant>
      <vt:variant>
        <vt:lpwstr/>
      </vt:variant>
      <vt:variant>
        <vt:i4>1966162</vt:i4>
      </vt:variant>
      <vt:variant>
        <vt:i4>15</vt:i4>
      </vt:variant>
      <vt:variant>
        <vt:i4>0</vt:i4>
      </vt:variant>
      <vt:variant>
        <vt:i4>5</vt:i4>
      </vt:variant>
      <vt:variant>
        <vt:lpwstr>consultantplus://offline/ref=0B59461ADF9C3BE4DFF08A4AD45C857F824EE2382D96185E3590B36B094A12E6DECB4E7430D5j7C</vt:lpwstr>
      </vt:variant>
      <vt:variant>
        <vt:lpwstr/>
      </vt:variant>
      <vt:variant>
        <vt:i4>1245194</vt:i4>
      </vt:variant>
      <vt:variant>
        <vt:i4>12</vt:i4>
      </vt:variant>
      <vt:variant>
        <vt:i4>0</vt:i4>
      </vt:variant>
      <vt:variant>
        <vt:i4>5</vt:i4>
      </vt:variant>
      <vt:variant>
        <vt:lpwstr>consultantplus://offline/ref=0B59461ADF9C3BE4DFF08A4AD45C857F824EE2382D96185E3590B36B094A12E6DECB4D76355981DCj7C</vt:lpwstr>
      </vt:variant>
      <vt:variant>
        <vt:lpwstr/>
      </vt:variant>
      <vt:variant>
        <vt:i4>1245196</vt:i4>
      </vt:variant>
      <vt:variant>
        <vt:i4>9</vt:i4>
      </vt:variant>
      <vt:variant>
        <vt:i4>0</vt:i4>
      </vt:variant>
      <vt:variant>
        <vt:i4>5</vt:i4>
      </vt:variant>
      <vt:variant>
        <vt:lpwstr>consultantplus://offline/ref=0B59461ADF9C3BE4DFF08A4AD45C857F824EE2382D96185E3590B36B094A12E6DECB4D76355982DCj2C</vt:lpwstr>
      </vt:variant>
      <vt:variant>
        <vt:lpwstr/>
      </vt:variant>
      <vt:variant>
        <vt:i4>1245195</vt:i4>
      </vt:variant>
      <vt:variant>
        <vt:i4>6</vt:i4>
      </vt:variant>
      <vt:variant>
        <vt:i4>0</vt:i4>
      </vt:variant>
      <vt:variant>
        <vt:i4>5</vt:i4>
      </vt:variant>
      <vt:variant>
        <vt:lpwstr>consultantplus://offline/ref=0B59461ADF9C3BE4DFF08A4AD45C857F824EE2382D96185E3590B36B094A12E6DECB4D76365580DCj8C</vt:lpwstr>
      </vt:variant>
      <vt:variant>
        <vt:lpwstr/>
      </vt:variant>
      <vt:variant>
        <vt:i4>8060981</vt:i4>
      </vt:variant>
      <vt:variant>
        <vt:i4>3</vt:i4>
      </vt:variant>
      <vt:variant>
        <vt:i4>0</vt:i4>
      </vt:variant>
      <vt:variant>
        <vt:i4>5</vt:i4>
      </vt:variant>
      <vt:variant>
        <vt:lpwstr>consultantplus://offline/ref=490E867725FDF05F86A5F3CD2F9E191E6237AF63D3B259A31BC7F8E456E2TFREC</vt:lpwstr>
      </vt:variant>
      <vt:variant>
        <vt:lpwstr/>
      </vt:variant>
      <vt:variant>
        <vt:i4>2097256</vt:i4>
      </vt:variant>
      <vt:variant>
        <vt:i4>0</vt:i4>
      </vt:variant>
      <vt:variant>
        <vt:i4>0</vt:i4>
      </vt:variant>
      <vt:variant>
        <vt:i4>5</vt:i4>
      </vt:variant>
      <vt:variant>
        <vt:lpwstr>consultantplus://offline/ref=490E867725FDF05F86A5EED93DF623183F38AE65D5B451FE11CFA1E854E5F1DB832E24F985A50F28T1R6C</vt:lpwstr>
      </vt:variant>
      <vt:variant>
        <vt:lpwstr/>
      </vt:variant>
      <vt:variant>
        <vt:i4>6488165</vt:i4>
      </vt:variant>
      <vt:variant>
        <vt:i4>48</vt:i4>
      </vt:variant>
      <vt:variant>
        <vt:i4>0</vt:i4>
      </vt:variant>
      <vt:variant>
        <vt:i4>5</vt:i4>
      </vt:variant>
      <vt:variant>
        <vt:lpwstr>https://alrf.msk.ru/komissiya_po_pravovomu_obespecheniyu_cifrovoy_ekonomiki_pri_mos_2</vt:lpwstr>
      </vt:variant>
      <vt:variant>
        <vt:lpwstr/>
      </vt:variant>
      <vt:variant>
        <vt:i4>6684726</vt:i4>
      </vt:variant>
      <vt:variant>
        <vt:i4>45</vt:i4>
      </vt:variant>
      <vt:variant>
        <vt:i4>0</vt:i4>
      </vt:variant>
      <vt:variant>
        <vt:i4>5</vt:i4>
      </vt:variant>
      <vt:variant>
        <vt:lpwstr>http://www.oecd.org/daf/blockchain/OECD-Blockchain-Policy-Centre-Flyer.pdf</vt:lpwstr>
      </vt:variant>
      <vt:variant>
        <vt:lpwstr/>
      </vt:variant>
      <vt:variant>
        <vt:i4>4784221</vt:i4>
      </vt:variant>
      <vt:variant>
        <vt:i4>42</vt:i4>
      </vt:variant>
      <vt:variant>
        <vt:i4>0</vt:i4>
      </vt:variant>
      <vt:variant>
        <vt:i4>5</vt:i4>
      </vt:variant>
      <vt:variant>
        <vt:lpwstr>https://forklog.com/oesr-vystupil-za-standartizatsiyu-nalogooblozheniya-bitkoina/</vt:lpwstr>
      </vt:variant>
      <vt:variant>
        <vt:lpwstr/>
      </vt:variant>
      <vt:variant>
        <vt:i4>786503</vt:i4>
      </vt:variant>
      <vt:variant>
        <vt:i4>39</vt:i4>
      </vt:variant>
      <vt:variant>
        <vt:i4>0</vt:i4>
      </vt:variant>
      <vt:variant>
        <vt:i4>5</vt:i4>
      </vt:variant>
      <vt:variant>
        <vt:lpwstr>http://www.oecd.org/tax/beps/</vt:lpwstr>
      </vt:variant>
      <vt:variant>
        <vt:lpwstr/>
      </vt:variant>
      <vt:variant>
        <vt:i4>7995437</vt:i4>
      </vt:variant>
      <vt:variant>
        <vt:i4>36</vt:i4>
      </vt:variant>
      <vt:variant>
        <vt:i4>0</vt:i4>
      </vt:variant>
      <vt:variant>
        <vt:i4>5</vt:i4>
      </vt:variant>
      <vt:variant>
        <vt:lpwstr>https://www.smh.com.au/politics/federal/australia-targets-cryptocurrencies-in-international-tax-crackdown-20190606-p51v0a.html?fbclid=IwAR3lVqCT9FePuDmlxYpVPLfqFL6NRXNE1O3ky1PzC1vVXL03ls6iMNTzDFI</vt:lpwstr>
      </vt:variant>
      <vt:variant>
        <vt:lpwstr/>
      </vt:variant>
      <vt:variant>
        <vt:i4>458842</vt:i4>
      </vt:variant>
      <vt:variant>
        <vt:i4>33</vt:i4>
      </vt:variant>
      <vt:variant>
        <vt:i4>0</vt:i4>
      </vt:variant>
      <vt:variant>
        <vt:i4>5</vt:i4>
      </vt:variant>
      <vt:variant>
        <vt:lpwstr>http://www.asahi.com/ajw/articles/AJ201906050064.html</vt:lpwstr>
      </vt:variant>
      <vt:variant>
        <vt:lpwstr/>
      </vt:variant>
      <vt:variant>
        <vt:i4>3407904</vt:i4>
      </vt:variant>
      <vt:variant>
        <vt:i4>30</vt:i4>
      </vt:variant>
      <vt:variant>
        <vt:i4>0</vt:i4>
      </vt:variant>
      <vt:variant>
        <vt:i4>5</vt:i4>
      </vt:variant>
      <vt:variant>
        <vt:lpwstr>https://www.ato.gov.au/General/Gen/Tax-treatment-of-crypto-currencies-in-Australia---specifically-bitcoin/?anchor=Recordkeeping</vt:lpwstr>
      </vt:variant>
      <vt:variant>
        <vt:lpwstr>Recordkeeping</vt:lpwstr>
      </vt:variant>
      <vt:variant>
        <vt:i4>3211374</vt:i4>
      </vt:variant>
      <vt:variant>
        <vt:i4>27</vt:i4>
      </vt:variant>
      <vt:variant>
        <vt:i4>0</vt:i4>
      </vt:variant>
      <vt:variant>
        <vt:i4>5</vt:i4>
      </vt:variant>
      <vt:variant>
        <vt:lpwstr>https://bit.ly/2Q5mIGp</vt:lpwstr>
      </vt:variant>
      <vt:variant>
        <vt:lpwstr/>
      </vt:variant>
      <vt:variant>
        <vt:i4>5439554</vt:i4>
      </vt:variant>
      <vt:variant>
        <vt:i4>24</vt:i4>
      </vt:variant>
      <vt:variant>
        <vt:i4>0</vt:i4>
      </vt:variant>
      <vt:variant>
        <vt:i4>5</vt:i4>
      </vt:variant>
      <vt:variant>
        <vt:lpwstr>https://oecd-russia.org/news/gruziya-o-nalogah-i-kriptomire.html</vt:lpwstr>
      </vt:variant>
      <vt:variant>
        <vt:lpwstr/>
      </vt:variant>
      <vt:variant>
        <vt:i4>7602276</vt:i4>
      </vt:variant>
      <vt:variant>
        <vt:i4>21</vt:i4>
      </vt:variant>
      <vt:variant>
        <vt:i4>0</vt:i4>
      </vt:variant>
      <vt:variant>
        <vt:i4>5</vt:i4>
      </vt:variant>
      <vt:variant>
        <vt:lpwstr>http://president.gov.by/ru/official_documents_ru/view/dekret-8-ot-21-dekabrja-2017-g-17716/</vt:lpwstr>
      </vt:variant>
      <vt:variant>
        <vt:lpwstr/>
      </vt:variant>
      <vt:variant>
        <vt:i4>5701708</vt:i4>
      </vt:variant>
      <vt:variant>
        <vt:i4>18</vt:i4>
      </vt:variant>
      <vt:variant>
        <vt:i4>0</vt:i4>
      </vt:variant>
      <vt:variant>
        <vt:i4>5</vt:i4>
      </vt:variant>
      <vt:variant>
        <vt:lpwstr>https://www.iras.gov.sg/irashome/uploadedFiles/IRASHome/GST/Draft e-Tax Guide _GST_Digital Payment Tokens.pdf</vt:lpwstr>
      </vt:variant>
      <vt:variant>
        <vt:lpwstr/>
      </vt:variant>
      <vt:variant>
        <vt:i4>6029396</vt:i4>
      </vt:variant>
      <vt:variant>
        <vt:i4>15</vt:i4>
      </vt:variant>
      <vt:variant>
        <vt:i4>0</vt:i4>
      </vt:variant>
      <vt:variant>
        <vt:i4>5</vt:i4>
      </vt:variant>
      <vt:variant>
        <vt:lpwstr>https://journalducoin.com/bitcoin/rejet-des-amendements-crypto-en-seconde-lecture-du-plf2019/</vt:lpwstr>
      </vt:variant>
      <vt:variant>
        <vt:lpwstr/>
      </vt:variant>
      <vt:variant>
        <vt:i4>6881323</vt:i4>
      </vt:variant>
      <vt:variant>
        <vt:i4>12</vt:i4>
      </vt:variant>
      <vt:variant>
        <vt:i4>0</vt:i4>
      </vt:variant>
      <vt:variant>
        <vt:i4>5</vt:i4>
      </vt:variant>
      <vt:variant>
        <vt:lpwstr>https://www.gov.uk/government/publications/tax-on-cryptoassets/cryptoassets-for-individuals</vt:lpwstr>
      </vt:variant>
      <vt:variant>
        <vt:lpwstr/>
      </vt:variant>
      <vt:variant>
        <vt:i4>7471218</vt:i4>
      </vt:variant>
      <vt:variant>
        <vt:i4>9</vt:i4>
      </vt:variant>
      <vt:variant>
        <vt:i4>0</vt:i4>
      </vt:variant>
      <vt:variant>
        <vt:i4>5</vt:i4>
      </vt:variant>
      <vt:variant>
        <vt:lpwstr>https://www.rbc.ru/finances/27/07/2019/5d3bb1d09a79472e4c58463e</vt:lpwstr>
      </vt:variant>
      <vt:variant>
        <vt:lpwstr/>
      </vt:variant>
      <vt:variant>
        <vt:i4>393222</vt:i4>
      </vt:variant>
      <vt:variant>
        <vt:i4>6</vt:i4>
      </vt:variant>
      <vt:variant>
        <vt:i4>0</vt:i4>
      </vt:variant>
      <vt:variant>
        <vt:i4>5</vt:i4>
      </vt:variant>
      <vt:variant>
        <vt:lpwstr>https://www.irs.gov/pub/irs-drop/n-14-21.pdf</vt:lpwstr>
      </vt:variant>
      <vt:variant>
        <vt:lpwstr/>
      </vt:variant>
      <vt:variant>
        <vt:i4>5046354</vt:i4>
      </vt:variant>
      <vt:variant>
        <vt:i4>3</vt:i4>
      </vt:variant>
      <vt:variant>
        <vt:i4>0</vt:i4>
      </vt:variant>
      <vt:variant>
        <vt:i4>5</vt:i4>
      </vt:variant>
      <vt:variant>
        <vt:lpwstr>https://iz.ru/766254/inna-grigoreva-tatiana-gladysheva/kriptovaliuty-v-zakone</vt:lpwstr>
      </vt:variant>
      <vt:variant>
        <vt:lpwstr/>
      </vt:variant>
      <vt:variant>
        <vt:i4>6029380</vt:i4>
      </vt:variant>
      <vt:variant>
        <vt:i4>0</vt:i4>
      </vt:variant>
      <vt:variant>
        <vt:i4>0</vt:i4>
      </vt:variant>
      <vt:variant>
        <vt:i4>5</vt:i4>
      </vt:variant>
      <vt:variant>
        <vt:lpwstr>https://www.pnp.ru/economics/aksakov-zakon-o-cifrovykh-finansovykh-aktivakh-mozhet-byt-prinyat-do-oktyabrya.html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 Соколова</cp:lastModifiedBy>
  <cp:revision>2</cp:revision>
  <cp:lastPrinted>2019-08-05T07:00:00Z</cp:lastPrinted>
  <dcterms:created xsi:type="dcterms:W3CDTF">2019-08-05T19:12:00Z</dcterms:created>
  <dcterms:modified xsi:type="dcterms:W3CDTF">2019-08-05T19:12:00Z</dcterms:modified>
</cp:coreProperties>
</file>